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90"/>
        <w:gridCol w:w="1622"/>
        <w:gridCol w:w="5098"/>
        <w:gridCol w:w="100"/>
        <w:gridCol w:w="8"/>
      </w:tblGrid>
      <w:tr w:rsidR="006D38E2" w14:paraId="6D8E2970" w14:textId="77777777" w:rsidTr="00395F14">
        <w:trPr>
          <w:gridBefore w:val="1"/>
          <w:wBefore w:w="108" w:type="dxa"/>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395F14">
        <w:trPr>
          <w:gridBefore w:val="1"/>
          <w:wBefore w:w="108" w:type="dxa"/>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7777777" w:rsidR="00A70556" w:rsidRDefault="00A70556" w:rsidP="00A70556">
            <w:pPr>
              <w:spacing w:after="0" w:line="276"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395F14" w:rsidRPr="004F05E7" w14:paraId="4AC6AEC6" w14:textId="77777777" w:rsidTr="00395F14">
        <w:trPr>
          <w:gridAfter w:val="2"/>
          <w:wAfter w:w="108" w:type="dxa"/>
          <w:trHeight w:val="340"/>
        </w:trPr>
        <w:tc>
          <w:tcPr>
            <w:tcW w:w="4820" w:type="dxa"/>
            <w:gridSpan w:val="3"/>
            <w:shd w:val="clear" w:color="auto" w:fill="F2F2F2" w:themeFill="background1" w:themeFillShade="F2"/>
            <w:vAlign w:val="center"/>
          </w:tcPr>
          <w:p w14:paraId="78F08298" w14:textId="77777777" w:rsidR="00395F14" w:rsidRPr="004F05E7" w:rsidRDefault="00395F14" w:rsidP="00397FC7">
            <w:pPr>
              <w:pStyle w:val="Prrafodelista"/>
              <w:numPr>
                <w:ilvl w:val="1"/>
                <w:numId w:val="1"/>
              </w:numPr>
              <w:spacing w:after="0" w:line="276" w:lineRule="auto"/>
              <w:ind w:left="431" w:hanging="431"/>
              <w:jc w:val="center"/>
              <w:rPr>
                <w:b/>
                <w:bCs/>
              </w:rPr>
            </w:pPr>
            <w:r w:rsidRPr="004F05E7">
              <w:rPr>
                <w:b/>
                <w:bCs/>
              </w:rPr>
              <w:t>Fecha de Inicio de la Evaluación:</w:t>
            </w:r>
          </w:p>
        </w:tc>
        <w:tc>
          <w:tcPr>
            <w:tcW w:w="5098" w:type="dxa"/>
            <w:shd w:val="clear" w:color="auto" w:fill="F2F2F2" w:themeFill="background1" w:themeFillShade="F2"/>
            <w:vAlign w:val="center"/>
          </w:tcPr>
          <w:p w14:paraId="3DCF0A30" w14:textId="77777777" w:rsidR="00395F14" w:rsidRPr="004F05E7" w:rsidRDefault="00395F14" w:rsidP="00397FC7">
            <w:pPr>
              <w:pStyle w:val="Prrafodelista"/>
              <w:numPr>
                <w:ilvl w:val="1"/>
                <w:numId w:val="1"/>
              </w:numPr>
              <w:spacing w:after="0" w:line="276" w:lineRule="auto"/>
              <w:ind w:left="431" w:hanging="431"/>
              <w:jc w:val="center"/>
              <w:rPr>
                <w:b/>
                <w:bCs/>
              </w:rPr>
            </w:pPr>
            <w:r w:rsidRPr="004F05E7">
              <w:rPr>
                <w:b/>
                <w:bCs/>
              </w:rPr>
              <w:t>Fecha de Término de la Evaluación:</w:t>
            </w:r>
          </w:p>
        </w:tc>
      </w:tr>
      <w:tr w:rsidR="00395F14" w:rsidRPr="004F05E7" w14:paraId="6AE95A0A" w14:textId="77777777" w:rsidTr="00395F14">
        <w:trPr>
          <w:gridAfter w:val="2"/>
          <w:wAfter w:w="108" w:type="dxa"/>
          <w:trHeight w:val="340"/>
        </w:trPr>
        <w:tc>
          <w:tcPr>
            <w:tcW w:w="4820" w:type="dxa"/>
            <w:gridSpan w:val="3"/>
            <w:shd w:val="clear" w:color="auto" w:fill="auto"/>
            <w:vAlign w:val="center"/>
          </w:tcPr>
          <w:p w14:paraId="432BCBE1" w14:textId="69473256" w:rsidR="00395F14" w:rsidRPr="004F05E7" w:rsidRDefault="00526289" w:rsidP="00397FC7">
            <w:pPr>
              <w:spacing w:after="0" w:line="276" w:lineRule="auto"/>
              <w:jc w:val="center"/>
              <w:rPr>
                <w:bCs/>
              </w:rPr>
            </w:pPr>
            <w:r w:rsidRPr="004F05E7">
              <w:rPr>
                <w:bCs/>
              </w:rPr>
              <w:t>25</w:t>
            </w:r>
            <w:r w:rsidR="00084B2C" w:rsidRPr="004F05E7">
              <w:rPr>
                <w:bCs/>
              </w:rPr>
              <w:t>/</w:t>
            </w:r>
            <w:r w:rsidRPr="004F05E7">
              <w:rPr>
                <w:bCs/>
              </w:rPr>
              <w:t>05</w:t>
            </w:r>
            <w:r w:rsidR="00084B2C" w:rsidRPr="004F05E7">
              <w:rPr>
                <w:bCs/>
              </w:rPr>
              <w:t>/202</w:t>
            </w:r>
            <w:r w:rsidRPr="004F05E7">
              <w:rPr>
                <w:bCs/>
              </w:rPr>
              <w:t>2</w:t>
            </w:r>
          </w:p>
        </w:tc>
        <w:tc>
          <w:tcPr>
            <w:tcW w:w="5098" w:type="dxa"/>
            <w:shd w:val="clear" w:color="auto" w:fill="auto"/>
            <w:vAlign w:val="center"/>
          </w:tcPr>
          <w:p w14:paraId="02394A70" w14:textId="6F0EA9F0" w:rsidR="00395F14" w:rsidRPr="004F05E7" w:rsidRDefault="00526289" w:rsidP="00397FC7">
            <w:pPr>
              <w:spacing w:after="0" w:line="276" w:lineRule="auto"/>
              <w:jc w:val="center"/>
              <w:rPr>
                <w:bCs/>
              </w:rPr>
            </w:pPr>
            <w:r w:rsidRPr="004F05E7">
              <w:rPr>
                <w:bCs/>
              </w:rPr>
              <w:t>24/06/2022</w:t>
            </w:r>
          </w:p>
        </w:tc>
      </w:tr>
      <w:tr w:rsidR="00A70556" w:rsidRPr="004F05E7" w14:paraId="6B7EC127" w14:textId="77777777" w:rsidTr="00395F14">
        <w:trPr>
          <w:gridBefore w:val="1"/>
          <w:wBefore w:w="108" w:type="dxa"/>
          <w:trHeight w:val="340"/>
        </w:trPr>
        <w:tc>
          <w:tcPr>
            <w:tcW w:w="9918" w:type="dxa"/>
            <w:gridSpan w:val="5"/>
            <w:shd w:val="clear" w:color="auto" w:fill="F2F2F2" w:themeFill="background1" w:themeFillShade="F2"/>
            <w:vAlign w:val="center"/>
          </w:tcPr>
          <w:p w14:paraId="615A97CF" w14:textId="783CF68E" w:rsidR="00A70556" w:rsidRPr="004F05E7" w:rsidRDefault="00A70556" w:rsidP="006F4B1F">
            <w:pPr>
              <w:pStyle w:val="Prrafodelista"/>
              <w:numPr>
                <w:ilvl w:val="1"/>
                <w:numId w:val="1"/>
              </w:numPr>
              <w:spacing w:after="0" w:line="276" w:lineRule="auto"/>
              <w:ind w:left="431" w:hanging="431"/>
              <w:jc w:val="both"/>
              <w:rPr>
                <w:b/>
                <w:bCs/>
              </w:rPr>
            </w:pPr>
            <w:r w:rsidRPr="004F05E7">
              <w:rPr>
                <w:b/>
                <w:bCs/>
              </w:rPr>
              <w:t>Nombre de la persona responsable de darle seguimiento a la evaluación y nombre de la unidad administrativa a la que pertenece:</w:t>
            </w:r>
            <w:r w:rsidR="00B91723" w:rsidRPr="004F05E7">
              <w:rPr>
                <w:b/>
                <w:bCs/>
              </w:rPr>
              <w:t xml:space="preserve"> </w:t>
            </w:r>
          </w:p>
        </w:tc>
      </w:tr>
      <w:tr w:rsidR="00A70556" w:rsidRPr="004F05E7" w14:paraId="37454C6A" w14:textId="77777777" w:rsidTr="00395F14">
        <w:trPr>
          <w:gridBefore w:val="1"/>
          <w:wBefore w:w="108" w:type="dxa"/>
          <w:trHeight w:val="340"/>
        </w:trPr>
        <w:tc>
          <w:tcPr>
            <w:tcW w:w="9918" w:type="dxa"/>
            <w:gridSpan w:val="5"/>
            <w:shd w:val="clear" w:color="auto" w:fill="auto"/>
            <w:vAlign w:val="center"/>
          </w:tcPr>
          <w:p w14:paraId="78C4F704" w14:textId="239391A3" w:rsidR="00A70556" w:rsidRPr="004F05E7" w:rsidRDefault="00526289" w:rsidP="00084B2C">
            <w:pPr>
              <w:pStyle w:val="Prrafodelista"/>
              <w:spacing w:after="0" w:line="276" w:lineRule="auto"/>
              <w:ind w:left="37"/>
              <w:jc w:val="both"/>
              <w:rPr>
                <w:bCs/>
              </w:rPr>
            </w:pPr>
            <w:r w:rsidRPr="004F05E7">
              <w:rPr>
                <w:bCs/>
              </w:rPr>
              <w:t>L.C.P. María Cynthia Medina López, Subdirectora de Recursos Financieros de los Servicios de Salud de Sinaloa</w:t>
            </w:r>
          </w:p>
        </w:tc>
      </w:tr>
      <w:tr w:rsidR="00A70556" w:rsidRPr="004F05E7" w14:paraId="79DD6CAD" w14:textId="77777777" w:rsidTr="00395F14">
        <w:trPr>
          <w:gridBefore w:val="1"/>
          <w:gridAfter w:val="1"/>
          <w:wBefore w:w="108" w:type="dxa"/>
          <w:wAfter w:w="8" w:type="dxa"/>
          <w:trHeight w:val="340"/>
        </w:trPr>
        <w:tc>
          <w:tcPr>
            <w:tcW w:w="9910" w:type="dxa"/>
            <w:gridSpan w:val="4"/>
            <w:shd w:val="clear" w:color="auto" w:fill="F2F2F2" w:themeFill="background1" w:themeFillShade="F2"/>
            <w:vAlign w:val="center"/>
          </w:tcPr>
          <w:p w14:paraId="78915100" w14:textId="77777777" w:rsidR="00A70556" w:rsidRPr="004F05E7" w:rsidRDefault="00A70556" w:rsidP="006F4B1F">
            <w:pPr>
              <w:pStyle w:val="Prrafodelista"/>
              <w:numPr>
                <w:ilvl w:val="1"/>
                <w:numId w:val="1"/>
              </w:numPr>
              <w:spacing w:after="0" w:line="276" w:lineRule="auto"/>
              <w:ind w:left="431" w:hanging="431"/>
              <w:rPr>
                <w:b/>
                <w:bCs/>
              </w:rPr>
            </w:pPr>
            <w:r w:rsidRPr="004F05E7">
              <w:rPr>
                <w:b/>
                <w:bCs/>
              </w:rPr>
              <w:t xml:space="preserve">Objetivo General de la Evaluación: </w:t>
            </w:r>
          </w:p>
        </w:tc>
      </w:tr>
    </w:tbl>
    <w:p w14:paraId="3E9F1678" w14:textId="7A1F7DBF" w:rsidR="00B920F2" w:rsidRPr="004F05E7" w:rsidRDefault="00084B2C" w:rsidP="00084B2C">
      <w:pPr>
        <w:spacing w:after="0" w:line="276" w:lineRule="auto"/>
        <w:ind w:left="170"/>
        <w:jc w:val="both"/>
      </w:pPr>
      <w:r w:rsidRPr="004F05E7">
        <w:t>Evaluar el desempeño de las aportaciones en la entidad federativa para el ejercicio fiscal concluido 2021 con el objetivo de mejorar la gestión, los resultados y la rendición de cuentas.</w:t>
      </w:r>
    </w:p>
    <w:tbl>
      <w:tblPr>
        <w:tblStyle w:val="Tablaconcuadrcula"/>
        <w:tblW w:w="0" w:type="auto"/>
        <w:tblLook w:val="04A0" w:firstRow="1" w:lastRow="0" w:firstColumn="1" w:lastColumn="0" w:noHBand="0" w:noVBand="1"/>
      </w:tblPr>
      <w:tblGrid>
        <w:gridCol w:w="9910"/>
      </w:tblGrid>
      <w:tr w:rsidR="005D1F4D" w:rsidRPr="004F05E7"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4F05E7" w:rsidRDefault="005D1F4D" w:rsidP="006F4B1F">
            <w:pPr>
              <w:pStyle w:val="Prrafodelista"/>
              <w:numPr>
                <w:ilvl w:val="1"/>
                <w:numId w:val="1"/>
              </w:numPr>
              <w:spacing w:after="0" w:line="276" w:lineRule="auto"/>
              <w:ind w:left="431" w:hanging="431"/>
              <w:rPr>
                <w:b/>
                <w:bCs/>
              </w:rPr>
            </w:pPr>
            <w:r w:rsidRPr="004F05E7">
              <w:rPr>
                <w:b/>
                <w:bCs/>
              </w:rPr>
              <w:t>Objetivos Específicos de la Evaluación:</w:t>
            </w:r>
          </w:p>
        </w:tc>
      </w:tr>
    </w:tbl>
    <w:p w14:paraId="7B830A38" w14:textId="77777777" w:rsidR="00084B2C" w:rsidRPr="004F05E7" w:rsidRDefault="00084B2C" w:rsidP="00084B2C">
      <w:pPr>
        <w:pStyle w:val="Prrafodelista"/>
        <w:numPr>
          <w:ilvl w:val="0"/>
          <w:numId w:val="2"/>
        </w:numPr>
        <w:spacing w:after="0" w:line="276" w:lineRule="auto"/>
        <w:ind w:left="431" w:hanging="221"/>
        <w:jc w:val="both"/>
      </w:pPr>
      <w:r w:rsidRPr="004F05E7">
        <w:t>Reportar los Resultados y objetivos del fondo evaluado durante el ejercicio fiscal 2021, mediante el análisis de los indicadores de resultados, de los indicadores de servicio de gestión, así como de los hallazgos relevantes derivados de las evaluaciones externas y otros documentos del fondo evaluado.</w:t>
      </w:r>
    </w:p>
    <w:p w14:paraId="6D2C0040" w14:textId="77777777" w:rsidR="00084B2C" w:rsidRPr="004F05E7" w:rsidRDefault="00084B2C" w:rsidP="00084B2C">
      <w:pPr>
        <w:pStyle w:val="Prrafodelista"/>
        <w:numPr>
          <w:ilvl w:val="0"/>
          <w:numId w:val="2"/>
        </w:numPr>
        <w:spacing w:after="0" w:line="276" w:lineRule="auto"/>
        <w:ind w:left="431" w:hanging="221"/>
        <w:jc w:val="both"/>
      </w:pPr>
      <w:r w:rsidRPr="004F05E7">
        <w:t>Analizar el avance de las metas de los indicadores de la Matriz de indicadores para Resultados (MIR) en 2021, respecto de años anteriores y el avance en relación a las metas establecidas.</w:t>
      </w:r>
    </w:p>
    <w:p w14:paraId="4C128578" w14:textId="77777777" w:rsidR="00084B2C" w:rsidRPr="004F05E7" w:rsidRDefault="00084B2C" w:rsidP="00084B2C">
      <w:pPr>
        <w:pStyle w:val="Prrafodelista"/>
        <w:numPr>
          <w:ilvl w:val="0"/>
          <w:numId w:val="2"/>
        </w:numPr>
        <w:spacing w:after="0" w:line="276" w:lineRule="auto"/>
        <w:ind w:left="431" w:hanging="221"/>
        <w:jc w:val="both"/>
      </w:pPr>
      <w:r w:rsidRPr="004F05E7">
        <w:t>Identificar los principales Aspectos Susceptibles de Mejora (ASM) del fondo evaluado, derivados de las evaluaciones externas.</w:t>
      </w:r>
    </w:p>
    <w:p w14:paraId="7D972DEC" w14:textId="77777777" w:rsidR="00084B2C" w:rsidRPr="004F05E7" w:rsidRDefault="00084B2C" w:rsidP="00084B2C">
      <w:pPr>
        <w:pStyle w:val="Prrafodelista"/>
        <w:numPr>
          <w:ilvl w:val="0"/>
          <w:numId w:val="2"/>
        </w:numPr>
        <w:spacing w:after="0" w:line="276" w:lineRule="auto"/>
        <w:ind w:left="431" w:hanging="221"/>
        <w:jc w:val="both"/>
      </w:pPr>
      <w:r w:rsidRPr="004F05E7">
        <w:t>Analizar la evaluación de la cobertura y el presupuesto del fondo evaluado</w:t>
      </w:r>
    </w:p>
    <w:p w14:paraId="2CCD5C65" w14:textId="2BC9B511" w:rsidR="009B7088" w:rsidRPr="004F05E7" w:rsidRDefault="00084B2C" w:rsidP="00084B2C">
      <w:pPr>
        <w:pStyle w:val="Prrafodelista"/>
        <w:numPr>
          <w:ilvl w:val="0"/>
          <w:numId w:val="2"/>
        </w:numPr>
        <w:spacing w:after="0" w:line="276" w:lineRule="auto"/>
        <w:ind w:left="431" w:hanging="221"/>
        <w:jc w:val="both"/>
      </w:pPr>
      <w:r w:rsidRPr="004F05E7">
        <w:t>Identificar las fortalezas, los retos y las recomendaciones del fondo evaluado.</w:t>
      </w:r>
    </w:p>
    <w:tbl>
      <w:tblPr>
        <w:tblStyle w:val="Tablaconcuadrcula"/>
        <w:tblW w:w="0" w:type="auto"/>
        <w:tblLook w:val="04A0" w:firstRow="1" w:lastRow="0" w:firstColumn="1" w:lastColumn="0" w:noHBand="0" w:noVBand="1"/>
      </w:tblPr>
      <w:tblGrid>
        <w:gridCol w:w="9910"/>
      </w:tblGrid>
      <w:tr w:rsidR="005D1F4D" w:rsidRPr="004F05E7"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4F05E7" w:rsidRDefault="005D1F4D" w:rsidP="006F4B1F">
            <w:pPr>
              <w:pStyle w:val="Prrafodelista"/>
              <w:numPr>
                <w:ilvl w:val="1"/>
                <w:numId w:val="1"/>
              </w:numPr>
              <w:spacing w:after="0" w:line="276" w:lineRule="auto"/>
              <w:ind w:left="431" w:hanging="431"/>
              <w:rPr>
                <w:b/>
                <w:bCs/>
              </w:rPr>
            </w:pPr>
            <w:r w:rsidRPr="004F05E7">
              <w:rPr>
                <w:b/>
                <w:bCs/>
              </w:rPr>
              <w:t>Metodología Utilizada en la Evaluación:</w:t>
            </w:r>
          </w:p>
        </w:tc>
      </w:tr>
    </w:tbl>
    <w:p w14:paraId="3529227A" w14:textId="073F0ED7" w:rsidR="00B920F2" w:rsidRPr="004F05E7" w:rsidRDefault="00526289" w:rsidP="004F05E7">
      <w:pPr>
        <w:pStyle w:val="Prrafodelista"/>
        <w:spacing w:after="0" w:line="276" w:lineRule="auto"/>
        <w:ind w:left="142"/>
        <w:jc w:val="both"/>
      </w:pPr>
      <w:r w:rsidRPr="004F05E7">
        <w:t>Trabajo de escritorio, mediante el cumplimiento de los Términos de Referencia para la Evaluación Específica del 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2126"/>
        <w:gridCol w:w="2977"/>
      </w:tblGrid>
      <w:tr w:rsidR="00581B4A" w:rsidRPr="004F05E7" w14:paraId="0AD764F8" w14:textId="77777777" w:rsidTr="00BB56BC">
        <w:trPr>
          <w:trHeight w:val="340"/>
        </w:trPr>
        <w:tc>
          <w:tcPr>
            <w:tcW w:w="9923" w:type="dxa"/>
            <w:gridSpan w:val="4"/>
            <w:shd w:val="clear" w:color="auto" w:fill="F2F2F2" w:themeFill="background1" w:themeFillShade="F2"/>
            <w:vAlign w:val="center"/>
          </w:tcPr>
          <w:p w14:paraId="061C683B" w14:textId="77777777" w:rsidR="00581B4A" w:rsidRPr="004F05E7" w:rsidRDefault="00581B4A" w:rsidP="00090637">
            <w:pPr>
              <w:spacing w:after="0" w:line="276" w:lineRule="auto"/>
              <w:jc w:val="both"/>
              <w:rPr>
                <w:b/>
                <w:bCs/>
              </w:rPr>
            </w:pPr>
            <w:r w:rsidRPr="004F05E7">
              <w:rPr>
                <w:b/>
                <w:bCs/>
              </w:rPr>
              <w:t>Instrumentos de Recolección de Información:</w:t>
            </w:r>
          </w:p>
        </w:tc>
      </w:tr>
      <w:tr w:rsidR="00521401" w:rsidRPr="004F05E7" w14:paraId="3339CF2A" w14:textId="77777777" w:rsidTr="004F10CF">
        <w:trPr>
          <w:trHeight w:val="340"/>
        </w:trPr>
        <w:tc>
          <w:tcPr>
            <w:tcW w:w="2552" w:type="dxa"/>
            <w:shd w:val="clear" w:color="auto" w:fill="F2F2F2" w:themeFill="background1" w:themeFillShade="F2"/>
            <w:vAlign w:val="center"/>
          </w:tcPr>
          <w:p w14:paraId="04494727" w14:textId="77777777" w:rsidR="00581B4A" w:rsidRPr="004F05E7" w:rsidRDefault="00581B4A" w:rsidP="00090637">
            <w:pPr>
              <w:spacing w:after="0" w:line="276" w:lineRule="auto"/>
              <w:jc w:val="center"/>
              <w:rPr>
                <w:b/>
                <w:bCs/>
              </w:rPr>
            </w:pPr>
            <w:r w:rsidRPr="004F05E7">
              <w:rPr>
                <w:b/>
                <w:bCs/>
              </w:rPr>
              <w:t>Cuestionarios:</w:t>
            </w:r>
          </w:p>
        </w:tc>
        <w:tc>
          <w:tcPr>
            <w:tcW w:w="2268" w:type="dxa"/>
            <w:shd w:val="clear" w:color="auto" w:fill="F2F2F2" w:themeFill="background1" w:themeFillShade="F2"/>
            <w:vAlign w:val="center"/>
          </w:tcPr>
          <w:p w14:paraId="0A3B5A78" w14:textId="77777777" w:rsidR="00581B4A" w:rsidRPr="004F05E7" w:rsidRDefault="00581B4A" w:rsidP="00090637">
            <w:pPr>
              <w:spacing w:after="0" w:line="276" w:lineRule="auto"/>
              <w:jc w:val="center"/>
              <w:rPr>
                <w:b/>
                <w:bCs/>
              </w:rPr>
            </w:pPr>
            <w:r w:rsidRPr="004F05E7">
              <w:rPr>
                <w:b/>
                <w:bCs/>
              </w:rPr>
              <w:t>Entrevistas:</w:t>
            </w:r>
          </w:p>
        </w:tc>
        <w:tc>
          <w:tcPr>
            <w:tcW w:w="2126" w:type="dxa"/>
            <w:shd w:val="clear" w:color="auto" w:fill="F2F2F2" w:themeFill="background1" w:themeFillShade="F2"/>
            <w:vAlign w:val="center"/>
          </w:tcPr>
          <w:p w14:paraId="220A6305" w14:textId="77777777" w:rsidR="00581B4A" w:rsidRPr="004F05E7" w:rsidRDefault="00581B4A" w:rsidP="00090637">
            <w:pPr>
              <w:spacing w:after="0" w:line="276" w:lineRule="auto"/>
              <w:jc w:val="center"/>
              <w:rPr>
                <w:b/>
                <w:bCs/>
              </w:rPr>
            </w:pPr>
            <w:r w:rsidRPr="004F05E7">
              <w:rPr>
                <w:b/>
                <w:bCs/>
              </w:rPr>
              <w:t>Formatos:</w:t>
            </w:r>
          </w:p>
        </w:tc>
        <w:tc>
          <w:tcPr>
            <w:tcW w:w="2977" w:type="dxa"/>
            <w:shd w:val="clear" w:color="auto" w:fill="F2F2F2" w:themeFill="background1" w:themeFillShade="F2"/>
            <w:vAlign w:val="center"/>
          </w:tcPr>
          <w:p w14:paraId="03857DDA" w14:textId="77777777" w:rsidR="00581B4A" w:rsidRPr="004F05E7" w:rsidRDefault="00581B4A" w:rsidP="00090637">
            <w:pPr>
              <w:spacing w:after="0" w:line="276" w:lineRule="auto"/>
              <w:jc w:val="center"/>
              <w:rPr>
                <w:b/>
                <w:bCs/>
              </w:rPr>
            </w:pPr>
            <w:r w:rsidRPr="004F05E7">
              <w:rPr>
                <w:b/>
                <w:bCs/>
              </w:rPr>
              <w:t>Especifique:</w:t>
            </w:r>
          </w:p>
        </w:tc>
      </w:tr>
      <w:tr w:rsidR="00521401" w:rsidRPr="004F05E7" w14:paraId="7F2A577C" w14:textId="77777777" w:rsidTr="004F05E7">
        <w:trPr>
          <w:trHeight w:val="576"/>
        </w:trPr>
        <w:tc>
          <w:tcPr>
            <w:tcW w:w="2552" w:type="dxa"/>
            <w:shd w:val="clear" w:color="auto" w:fill="auto"/>
            <w:vAlign w:val="center"/>
          </w:tcPr>
          <w:p w14:paraId="4BCD5639" w14:textId="19290A93" w:rsidR="00581B4A" w:rsidRPr="004F05E7" w:rsidRDefault="00526289" w:rsidP="00526289">
            <w:pPr>
              <w:spacing w:after="0" w:line="276" w:lineRule="auto"/>
              <w:jc w:val="center"/>
              <w:rPr>
                <w:bCs/>
              </w:rPr>
            </w:pPr>
            <w:r w:rsidRPr="004F05E7">
              <w:rPr>
                <w:bCs/>
              </w:rPr>
              <w:t>X</w:t>
            </w:r>
          </w:p>
        </w:tc>
        <w:tc>
          <w:tcPr>
            <w:tcW w:w="2268" w:type="dxa"/>
            <w:shd w:val="clear" w:color="auto" w:fill="auto"/>
            <w:vAlign w:val="center"/>
          </w:tcPr>
          <w:p w14:paraId="1F71ABFD" w14:textId="77777777" w:rsidR="00581B4A" w:rsidRPr="004F05E7" w:rsidRDefault="00581B4A" w:rsidP="00090637">
            <w:pPr>
              <w:spacing w:after="0" w:line="276" w:lineRule="auto"/>
              <w:jc w:val="center"/>
              <w:rPr>
                <w:bCs/>
              </w:rPr>
            </w:pPr>
          </w:p>
        </w:tc>
        <w:tc>
          <w:tcPr>
            <w:tcW w:w="2126" w:type="dxa"/>
            <w:shd w:val="clear" w:color="auto" w:fill="auto"/>
            <w:vAlign w:val="center"/>
          </w:tcPr>
          <w:p w14:paraId="66DFD63C" w14:textId="761672E7" w:rsidR="00581B4A" w:rsidRPr="004F05E7" w:rsidRDefault="00581B4A" w:rsidP="00090637">
            <w:pPr>
              <w:spacing w:after="0" w:line="276" w:lineRule="auto"/>
              <w:jc w:val="center"/>
            </w:pPr>
          </w:p>
        </w:tc>
        <w:tc>
          <w:tcPr>
            <w:tcW w:w="2977" w:type="dxa"/>
            <w:shd w:val="clear" w:color="auto" w:fill="auto"/>
            <w:vAlign w:val="center"/>
          </w:tcPr>
          <w:p w14:paraId="635641E2" w14:textId="4C9CB3EA" w:rsidR="00581B4A" w:rsidRPr="004F05E7" w:rsidRDefault="00526289" w:rsidP="00090637">
            <w:pPr>
              <w:spacing w:after="0" w:line="276" w:lineRule="auto"/>
              <w:jc w:val="center"/>
              <w:rPr>
                <w:bCs/>
              </w:rPr>
            </w:pPr>
            <w:r w:rsidRPr="004F05E7">
              <w:rPr>
                <w:bCs/>
              </w:rPr>
              <w:t>Investigación Documental</w:t>
            </w:r>
          </w:p>
        </w:tc>
      </w:tr>
      <w:tr w:rsidR="005D1F4D" w:rsidRPr="004F05E7" w14:paraId="28F03B61" w14:textId="77777777" w:rsidTr="004F1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23" w:type="dxa"/>
            <w:gridSpan w:val="4"/>
            <w:tcBorders>
              <w:top w:val="nil"/>
              <w:left w:val="nil"/>
              <w:bottom w:val="nil"/>
              <w:right w:val="nil"/>
            </w:tcBorders>
            <w:shd w:val="clear" w:color="auto" w:fill="F2F2F2" w:themeFill="background1" w:themeFillShade="F2"/>
            <w:vAlign w:val="center"/>
          </w:tcPr>
          <w:p w14:paraId="166B2ED4" w14:textId="77777777" w:rsidR="005D1F4D" w:rsidRPr="004F05E7" w:rsidRDefault="005D1F4D" w:rsidP="00090637">
            <w:pPr>
              <w:pStyle w:val="Prrafodelista"/>
              <w:spacing w:after="0" w:line="276" w:lineRule="auto"/>
              <w:ind w:left="0"/>
              <w:jc w:val="both"/>
              <w:rPr>
                <w:b/>
                <w:bCs/>
              </w:rPr>
            </w:pPr>
            <w:r w:rsidRPr="004F05E7">
              <w:rPr>
                <w:b/>
                <w:bCs/>
              </w:rPr>
              <w:t>Descripción de las Técnicas y Modelos Utilizados:</w:t>
            </w:r>
          </w:p>
        </w:tc>
      </w:tr>
    </w:tbl>
    <w:p w14:paraId="2322D334" w14:textId="77777777" w:rsidR="009F31DF" w:rsidRPr="004F05E7" w:rsidRDefault="009F31DF" w:rsidP="00521401">
      <w:pPr>
        <w:pStyle w:val="Prrafodelista"/>
        <w:spacing w:after="0" w:line="276" w:lineRule="auto"/>
        <w:ind w:left="284"/>
        <w:jc w:val="both"/>
      </w:pPr>
      <w:r w:rsidRPr="004F05E7">
        <w:t>En cuanto al proceso operativo de la evaluación, seguido por los responsables de la evaluación, este contempló dos fases, mismas que se describen de forma resu</w:t>
      </w:r>
      <w:bookmarkStart w:id="0" w:name="_GoBack"/>
      <w:bookmarkEnd w:id="0"/>
      <w:r w:rsidRPr="004F05E7">
        <w:t>mida en el siguiente listado:</w:t>
      </w:r>
    </w:p>
    <w:p w14:paraId="0A0D3900" w14:textId="77777777" w:rsidR="009F31DF" w:rsidRPr="004F05E7" w:rsidRDefault="009F31DF" w:rsidP="006F4B1F">
      <w:pPr>
        <w:pStyle w:val="Prrafodelista"/>
        <w:numPr>
          <w:ilvl w:val="0"/>
          <w:numId w:val="3"/>
        </w:numPr>
        <w:spacing w:line="276" w:lineRule="auto"/>
        <w:ind w:left="567" w:hanging="219"/>
        <w:jc w:val="both"/>
      </w:pPr>
      <w:r w:rsidRPr="004F05E7">
        <w:rPr>
          <w:b/>
          <w:bCs/>
        </w:rPr>
        <w:t>Recolección de información:</w:t>
      </w:r>
      <w:r w:rsidRPr="004F05E7">
        <w:t xml:space="preserve"> fase que consideró los procesos inherentes a recabar la información pertinente y necesaria para el análisis sistemático realizado en apego a los </w:t>
      </w:r>
      <w:proofErr w:type="spellStart"/>
      <w:r w:rsidRPr="004F05E7">
        <w:t>TdR</w:t>
      </w:r>
      <w:proofErr w:type="spellEnd"/>
      <w:r w:rsidRPr="004F05E7">
        <w:t xml:space="preserve"> aplicados.</w:t>
      </w:r>
    </w:p>
    <w:p w14:paraId="385076F0" w14:textId="77777777" w:rsidR="006D38E2" w:rsidRPr="004F05E7" w:rsidRDefault="006D38E2" w:rsidP="006F4B1F">
      <w:pPr>
        <w:pStyle w:val="Prrafodelista"/>
        <w:numPr>
          <w:ilvl w:val="0"/>
          <w:numId w:val="3"/>
        </w:numPr>
        <w:spacing w:after="0" w:line="276" w:lineRule="auto"/>
        <w:ind w:left="567" w:hanging="219"/>
        <w:jc w:val="both"/>
        <w:sectPr w:rsidR="006D38E2" w:rsidRPr="004F05E7" w:rsidSect="002C74F0">
          <w:headerReference w:type="default" r:id="rId8"/>
          <w:footerReference w:type="default" r:id="rId9"/>
          <w:headerReference w:type="first" r:id="rId10"/>
          <w:footerReference w:type="first" r:id="rId11"/>
          <w:pgSz w:w="12240" w:h="15840"/>
          <w:pgMar w:top="1418" w:right="902" w:bottom="1134" w:left="1418" w:header="567" w:footer="266" w:gutter="0"/>
          <w:cols w:space="708"/>
          <w:titlePg/>
          <w:docGrid w:linePitch="360"/>
        </w:sectPr>
      </w:pPr>
      <w:r w:rsidRPr="004F05E7">
        <w:rPr>
          <w:b/>
          <w:bCs/>
        </w:rPr>
        <w:t>Análisis de Gabinete:</w:t>
      </w:r>
      <w:r w:rsidRPr="004F05E7">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rsidRPr="004F05E7"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Pr="004F05E7" w:rsidRDefault="00823754" w:rsidP="006F4B1F">
            <w:pPr>
              <w:pStyle w:val="Prrafodelista"/>
              <w:numPr>
                <w:ilvl w:val="0"/>
                <w:numId w:val="4"/>
              </w:numPr>
              <w:spacing w:after="0" w:line="276" w:lineRule="auto"/>
              <w:jc w:val="both"/>
            </w:pPr>
            <w:r w:rsidRPr="004F05E7">
              <w:rPr>
                <w:b/>
                <w:bCs/>
                <w:color w:val="FFFFFF" w:themeColor="background1"/>
              </w:rPr>
              <w:lastRenderedPageBreak/>
              <w:t>Principales Hallazgos de la Evaluación</w:t>
            </w:r>
          </w:p>
        </w:tc>
      </w:tr>
      <w:tr w:rsidR="009C2562" w:rsidRPr="004F05E7"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4F05E7" w:rsidRDefault="009C2562" w:rsidP="006F4B1F">
            <w:pPr>
              <w:pStyle w:val="Prrafodelista"/>
              <w:numPr>
                <w:ilvl w:val="1"/>
                <w:numId w:val="5"/>
              </w:numPr>
              <w:spacing w:after="0" w:line="276" w:lineRule="auto"/>
              <w:ind w:left="567" w:hanging="431"/>
              <w:jc w:val="both"/>
              <w:rPr>
                <w:b/>
                <w:bCs/>
              </w:rPr>
            </w:pPr>
            <w:r w:rsidRPr="004F05E7">
              <w:rPr>
                <w:b/>
                <w:bCs/>
              </w:rPr>
              <w:t xml:space="preserve">Describir los Hallazgos más Relevantes de la Evaluación: </w:t>
            </w:r>
          </w:p>
        </w:tc>
      </w:tr>
    </w:tbl>
    <w:p w14:paraId="301E8E72" w14:textId="5AB8AED8" w:rsidR="006C3FF8" w:rsidRPr="004F05E7" w:rsidRDefault="00FD4F42" w:rsidP="008457AC">
      <w:pPr>
        <w:pStyle w:val="Prrafodelista"/>
        <w:numPr>
          <w:ilvl w:val="0"/>
          <w:numId w:val="21"/>
        </w:numPr>
        <w:spacing w:after="0" w:line="276" w:lineRule="auto"/>
        <w:jc w:val="both"/>
      </w:pPr>
      <w:r w:rsidRPr="004F05E7">
        <w:t>El Resumen Narrativo del Fin y del Propósito en consistente con el problema a atender por el FASSA y el objetivo del FASSA. Los indicadores también son consistentes con el Resumen Narrativo. En este sentido se tiene una lógica horizontal y vertical de la MIR.</w:t>
      </w:r>
    </w:p>
    <w:p w14:paraId="4B27555F" w14:textId="448E3795" w:rsidR="006C3FF8" w:rsidRPr="004F05E7" w:rsidRDefault="006C3FF8" w:rsidP="008457AC">
      <w:pPr>
        <w:pStyle w:val="Prrafodelista"/>
        <w:numPr>
          <w:ilvl w:val="0"/>
          <w:numId w:val="21"/>
        </w:numPr>
        <w:spacing w:after="0" w:line="276" w:lineRule="auto"/>
        <w:jc w:val="both"/>
      </w:pPr>
      <w:r w:rsidRPr="004F05E7">
        <w:t>En términos generales las acciones, procesos y proyectos implementados por los Servicios de Salud de Sinaloa (SSS) permiten un ejercicio razonable de los recursos del FASSA; sin embargo, es necesario definir una estrategia que le permita a los SSS realizar una adecuada asignación de recursos con la finalidad de cubrir de manera más eficiente los requerimientos, derivado de los hallazgos del Diagnóstico Sectorial de los Servicios de Salud, utilizando la MML como un elemento estructurador de las actividades.</w:t>
      </w:r>
    </w:p>
    <w:p w14:paraId="1042D447" w14:textId="1E9BB61E" w:rsidR="006C3FF8" w:rsidRPr="004F05E7" w:rsidRDefault="00AC3905" w:rsidP="008457AC">
      <w:pPr>
        <w:pStyle w:val="Prrafodelista"/>
        <w:numPr>
          <w:ilvl w:val="0"/>
          <w:numId w:val="21"/>
        </w:numPr>
        <w:spacing w:after="0" w:line="276" w:lineRule="auto"/>
        <w:jc w:val="both"/>
      </w:pPr>
      <w:r w:rsidRPr="004F05E7">
        <w:t>Para el ejercicio fiscal 2021 los SSS integraron un Diagnóstico, en el cual se describe la situación actual de la salud en la entidad federativa, a través de datos duros, y que abarca los temas de daños a la salud; factores de riesgo; programas de atención para coadyuvar en los riesgos a la salud; recursos humanos en las instituciones del Sector Salud; consultas y servicios otorgados; principales causas de egreso hospitalario; capacidad hospitalaria; servicios de protección contra riesgos sanitarios; participación social y medicina tradicional; metodología para la dete</w:t>
      </w:r>
      <w:r w:rsidR="0058664C" w:rsidRPr="004F05E7">
        <w:t>rm</w:t>
      </w:r>
      <w:r w:rsidRPr="004F05E7">
        <w:t>inación de daños y prioridades; plan maestro de infraestructura; políticas y estrategias, y recursos financieros.</w:t>
      </w:r>
    </w:p>
    <w:p w14:paraId="79D3AC9E" w14:textId="56A66CEC" w:rsidR="00AC3905" w:rsidRPr="004F05E7" w:rsidRDefault="00AC3905" w:rsidP="008457AC">
      <w:pPr>
        <w:pStyle w:val="Prrafodelista"/>
        <w:numPr>
          <w:ilvl w:val="0"/>
          <w:numId w:val="21"/>
        </w:numPr>
        <w:spacing w:after="0" w:line="276" w:lineRule="auto"/>
        <w:jc w:val="both"/>
      </w:pPr>
      <w:r w:rsidRPr="004F05E7">
        <w:t xml:space="preserve">Además, los SSS, como parte del proceso de planeación, mediante la MML elaboraron árboles de problemas y objetivos, para la mayor parte de los programas implementados con los recursos del Fondo; por lo que ya se contaron con Matrices de Indicadores para Resultados, algunos aún no alineados o no cuentan con las fichas técnicas correspondientes. </w:t>
      </w:r>
    </w:p>
    <w:p w14:paraId="489211B3" w14:textId="77777777" w:rsidR="00AC3905" w:rsidRPr="004F05E7" w:rsidRDefault="00AC3905" w:rsidP="008457AC">
      <w:pPr>
        <w:pStyle w:val="Prrafodelista"/>
        <w:numPr>
          <w:ilvl w:val="0"/>
          <w:numId w:val="21"/>
        </w:numPr>
        <w:spacing w:after="0" w:line="276" w:lineRule="auto"/>
        <w:jc w:val="both"/>
      </w:pPr>
      <w:r w:rsidRPr="004F05E7">
        <w:t xml:space="preserve">Los SSS no cuentan con criterios adecuados para la distribución de los recursos del FASSA en el estado, se documenta el ejercicio de los recursos del FASSA por capítulo de gasto; unidades administrativas, y distribución geográfica, de acuerdo a la ley General de Contabilidad Gubernamental. Con base a las necesidades establecidas en el Diagnóstico de los Servicios de Salud de Sinaloa la asignación de recursos no es la más adecuada. </w:t>
      </w:r>
    </w:p>
    <w:p w14:paraId="26BDD3E0" w14:textId="77777777" w:rsidR="00AC3905" w:rsidRPr="004F05E7" w:rsidRDefault="00AC3905" w:rsidP="008457AC">
      <w:pPr>
        <w:pStyle w:val="Prrafodelista"/>
        <w:numPr>
          <w:ilvl w:val="0"/>
          <w:numId w:val="21"/>
        </w:numPr>
        <w:spacing w:after="0" w:line="276" w:lineRule="auto"/>
        <w:jc w:val="both"/>
      </w:pPr>
      <w:r w:rsidRPr="004F05E7">
        <w:t xml:space="preserve">No se encontró una adecuada proyección que le permita conocer si los recursos son suficientes para atender la problemática identificada en el mediano y largo plazo; sin embargo; se señala que existe una ineficiente asignación de los recursos por área de servicio para la atención de las necesidades. </w:t>
      </w:r>
    </w:p>
    <w:p w14:paraId="5B75F5AA" w14:textId="79CC713B" w:rsidR="00AC3905" w:rsidRPr="004F05E7" w:rsidRDefault="00AC3905" w:rsidP="008457AC">
      <w:pPr>
        <w:pStyle w:val="Prrafodelista"/>
        <w:numPr>
          <w:ilvl w:val="0"/>
          <w:numId w:val="21"/>
        </w:numPr>
        <w:spacing w:after="0" w:line="276" w:lineRule="auto"/>
        <w:jc w:val="both"/>
      </w:pPr>
      <w:r w:rsidRPr="004F05E7">
        <w:t>No se detectan variaciones relevantes en el ejercicio presupuesta</w:t>
      </w:r>
      <w:r w:rsidR="0058664C" w:rsidRPr="004F05E7">
        <w:t>l</w:t>
      </w:r>
      <w:r w:rsidRPr="004F05E7">
        <w:t>, al momento de comparar el aprobado con el momento contable del Pagado y Devengado, se recomienda darles seguimiento a estas variaciones, con la finalidad de anticipar en la medida de lo posible estas diferencias y ajustarlas, en el momento contable del Modificado al momento del cierre presupuesta</w:t>
      </w:r>
      <w:r w:rsidR="0058664C" w:rsidRPr="004F05E7">
        <w:t>l</w:t>
      </w:r>
      <w:r w:rsidRPr="004F05E7">
        <w:t xml:space="preserve">. </w:t>
      </w:r>
    </w:p>
    <w:p w14:paraId="575E6AED" w14:textId="77777777" w:rsidR="00AC3905" w:rsidRPr="004F05E7" w:rsidRDefault="00AC3905" w:rsidP="008457AC">
      <w:pPr>
        <w:pStyle w:val="Prrafodelista"/>
        <w:numPr>
          <w:ilvl w:val="0"/>
          <w:numId w:val="21"/>
        </w:numPr>
        <w:spacing w:after="0" w:line="276" w:lineRule="auto"/>
        <w:jc w:val="both"/>
      </w:pPr>
      <w:r w:rsidRPr="004F05E7">
        <w:t xml:space="preserve">A fin de otorgar los servicios de salud, para el ejercicio en cuestión, se identificaron programas complementarios a los implementados con los recursos del FASSA, que pueden ser financiados con aportaciones federales (ramo 12), estatales y municipales. </w:t>
      </w:r>
    </w:p>
    <w:p w14:paraId="0A04B95D" w14:textId="5C38DCB7" w:rsidR="00AC3905" w:rsidRPr="004F05E7" w:rsidRDefault="00AC3905" w:rsidP="008457AC">
      <w:pPr>
        <w:pStyle w:val="Prrafodelista"/>
        <w:numPr>
          <w:ilvl w:val="0"/>
          <w:numId w:val="21"/>
        </w:numPr>
        <w:spacing w:after="0" w:line="276" w:lineRule="auto"/>
        <w:jc w:val="both"/>
      </w:pPr>
      <w:r w:rsidRPr="004F05E7">
        <w:t>Se tienen registros de las transferencias que la SHCP realizó a la entidad, en los cuales se puede verificar que las transferencias de los recursos del Fondo se hicieron de acuerdo con el calendario establecido, además están sistematizados y son conocidos por las áreas responsables de realizar la gestión de los recursos.</w:t>
      </w:r>
    </w:p>
    <w:p w14:paraId="387C5128" w14:textId="77777777" w:rsidR="00FD4F42" w:rsidRPr="004F05E7" w:rsidRDefault="00FD4F42" w:rsidP="000C18FD">
      <w:pPr>
        <w:spacing w:after="0" w:line="276" w:lineRule="auto"/>
        <w:ind w:left="284"/>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rsidRPr="004F05E7" w14:paraId="1A18EE6B" w14:textId="77777777" w:rsidTr="00090637">
        <w:tc>
          <w:tcPr>
            <w:tcW w:w="9910" w:type="dxa"/>
            <w:shd w:val="clear" w:color="auto" w:fill="F2F2F2" w:themeFill="background1" w:themeFillShade="F2"/>
            <w:vAlign w:val="center"/>
          </w:tcPr>
          <w:p w14:paraId="1B1BF1D3" w14:textId="08FCB9EA" w:rsidR="003E1018" w:rsidRPr="004F05E7" w:rsidRDefault="003E1018" w:rsidP="006F4B1F">
            <w:pPr>
              <w:pStyle w:val="Prrafodelista"/>
              <w:numPr>
                <w:ilvl w:val="1"/>
                <w:numId w:val="5"/>
              </w:numPr>
              <w:spacing w:after="0" w:line="276" w:lineRule="auto"/>
              <w:ind w:left="567" w:hanging="431"/>
              <w:jc w:val="both"/>
            </w:pPr>
            <w:r w:rsidRPr="004F05E7">
              <w:rPr>
                <w:b/>
                <w:bCs/>
              </w:rPr>
              <w:t xml:space="preserve">Señalar cuáles son las principales Fortalezas, Oportunidades, Debilidades y Amenazas (FODA), de </w:t>
            </w:r>
            <w:r w:rsidR="00C63D2B" w:rsidRPr="004F05E7">
              <w:rPr>
                <w:b/>
                <w:bCs/>
              </w:rPr>
              <w:t>a</w:t>
            </w:r>
            <w:r w:rsidRPr="004F05E7">
              <w:rPr>
                <w:b/>
                <w:bCs/>
              </w:rPr>
              <w:t>cuerdo con los te</w:t>
            </w:r>
            <w:r w:rsidR="009576E0" w:rsidRPr="004F05E7">
              <w:rPr>
                <w:b/>
                <w:bCs/>
              </w:rPr>
              <w:t>mas del Programa, Estrategia o I</w:t>
            </w:r>
            <w:r w:rsidRPr="004F05E7">
              <w:rPr>
                <w:b/>
                <w:bCs/>
              </w:rPr>
              <w:t>nstituciones.</w:t>
            </w:r>
          </w:p>
        </w:tc>
      </w:tr>
    </w:tbl>
    <w:p w14:paraId="497F2C47" w14:textId="77777777" w:rsidR="003E1018" w:rsidRPr="004F05E7" w:rsidRDefault="003E1018" w:rsidP="006F4B1F">
      <w:pPr>
        <w:pStyle w:val="Prrafodelista"/>
        <w:numPr>
          <w:ilvl w:val="2"/>
          <w:numId w:val="5"/>
        </w:numPr>
        <w:spacing w:after="0" w:line="276" w:lineRule="auto"/>
        <w:ind w:left="993" w:hanging="567"/>
        <w:jc w:val="both"/>
        <w:rPr>
          <w:b/>
          <w:bCs/>
        </w:rPr>
      </w:pPr>
      <w:r w:rsidRPr="004F05E7">
        <w:rPr>
          <w:b/>
          <w:bCs/>
        </w:rPr>
        <w:t xml:space="preserve">Fortalezas: </w:t>
      </w:r>
    </w:p>
    <w:p w14:paraId="2191C3FB" w14:textId="53384D5E" w:rsidR="00526289" w:rsidRPr="004F05E7" w:rsidRDefault="00526289" w:rsidP="00526289">
      <w:pPr>
        <w:pStyle w:val="Prrafodelista"/>
        <w:numPr>
          <w:ilvl w:val="0"/>
          <w:numId w:val="7"/>
        </w:numPr>
        <w:spacing w:after="0" w:line="276" w:lineRule="auto"/>
        <w:jc w:val="both"/>
      </w:pPr>
      <w:r w:rsidRPr="004F05E7">
        <w:t>El FASSA es un fondo relevante porque financia un alto porcentaje del personal de la plantilla de los servicios de salud en la entidad. Así, el Fondo es una fuente de financiamiento relevante al interior de la organización y puede motivar acciones de mejora en la operación de sus recursos.</w:t>
      </w:r>
    </w:p>
    <w:p w14:paraId="70184195" w14:textId="77777777" w:rsidR="00526289" w:rsidRPr="004F05E7" w:rsidRDefault="00526289" w:rsidP="00526289">
      <w:pPr>
        <w:pStyle w:val="Prrafodelista"/>
        <w:numPr>
          <w:ilvl w:val="0"/>
          <w:numId w:val="7"/>
        </w:numPr>
        <w:spacing w:line="276" w:lineRule="auto"/>
      </w:pPr>
      <w:r w:rsidRPr="004F05E7">
        <w:t>Adecuada alineación de objetivos y metas con los instrumentos de planeación del ámbito federal y estatal.</w:t>
      </w:r>
    </w:p>
    <w:p w14:paraId="6D98E351" w14:textId="77777777" w:rsidR="00526289" w:rsidRPr="004F05E7" w:rsidRDefault="00526289" w:rsidP="00526289">
      <w:pPr>
        <w:pStyle w:val="Prrafodelista"/>
        <w:numPr>
          <w:ilvl w:val="0"/>
          <w:numId w:val="7"/>
        </w:numPr>
        <w:spacing w:line="276" w:lineRule="auto"/>
      </w:pPr>
      <w:r w:rsidRPr="004F05E7">
        <w:t>Metas claramente definidas y programadas que abonan al alcance del objetivo del Fondo evaluado.</w:t>
      </w:r>
    </w:p>
    <w:p w14:paraId="1D5593BD" w14:textId="77777777" w:rsidR="00526289" w:rsidRPr="004F05E7" w:rsidRDefault="00526289" w:rsidP="00526289">
      <w:pPr>
        <w:pStyle w:val="Prrafodelista"/>
        <w:numPr>
          <w:ilvl w:val="0"/>
          <w:numId w:val="7"/>
        </w:numPr>
        <w:spacing w:line="276" w:lineRule="auto"/>
      </w:pPr>
      <w:r w:rsidRPr="004F05E7">
        <w:t>Los indicadores correspondientes a las matrices cuentan con las características de temporalidad y línea base.</w:t>
      </w:r>
    </w:p>
    <w:p w14:paraId="222C1959" w14:textId="3776A837" w:rsidR="00AB629A" w:rsidRPr="004F05E7" w:rsidRDefault="00526289" w:rsidP="00084B2C">
      <w:pPr>
        <w:pStyle w:val="Prrafodelista"/>
        <w:numPr>
          <w:ilvl w:val="0"/>
          <w:numId w:val="7"/>
        </w:numPr>
        <w:spacing w:after="0" w:line="276" w:lineRule="auto"/>
        <w:jc w:val="both"/>
      </w:pPr>
      <w:r w:rsidRPr="004F05E7">
        <w:t>Los programas del fondo identifican claramente a la población objetivo a la cual están destinados los bienes y servicios que proporcionan.</w:t>
      </w:r>
    </w:p>
    <w:p w14:paraId="5E200F8F" w14:textId="2FC77EB8" w:rsidR="00526289" w:rsidRPr="004F05E7" w:rsidRDefault="00526289" w:rsidP="00084B2C">
      <w:pPr>
        <w:pStyle w:val="Prrafodelista"/>
        <w:numPr>
          <w:ilvl w:val="0"/>
          <w:numId w:val="7"/>
        </w:numPr>
        <w:spacing w:after="0" w:line="276" w:lineRule="auto"/>
        <w:jc w:val="both"/>
      </w:pPr>
      <w:r w:rsidRPr="004F05E7">
        <w:t>El fondo cuenta con métodos que permiten cuantificar y determinar la población objetivo.</w:t>
      </w:r>
    </w:p>
    <w:p w14:paraId="135525B9" w14:textId="0C54FD83" w:rsidR="00526289" w:rsidRPr="004F05E7" w:rsidRDefault="00526289" w:rsidP="00084B2C">
      <w:pPr>
        <w:pStyle w:val="Prrafodelista"/>
        <w:numPr>
          <w:ilvl w:val="0"/>
          <w:numId w:val="7"/>
        </w:numPr>
        <w:spacing w:after="0" w:line="276" w:lineRule="auto"/>
        <w:jc w:val="both"/>
      </w:pPr>
      <w:r w:rsidRPr="004F05E7">
        <w:t>El fondo ha logrado establecer un avance en atención a la población objetivo antes identificada.</w:t>
      </w:r>
    </w:p>
    <w:p w14:paraId="338E48C8" w14:textId="78D27F97" w:rsidR="00526289" w:rsidRPr="004F05E7" w:rsidRDefault="00526289" w:rsidP="00084B2C">
      <w:pPr>
        <w:pStyle w:val="Prrafodelista"/>
        <w:numPr>
          <w:ilvl w:val="0"/>
          <w:numId w:val="7"/>
        </w:numPr>
        <w:spacing w:after="0" w:line="276" w:lineRule="auto"/>
        <w:jc w:val="both"/>
      </w:pPr>
      <w:r w:rsidRPr="004F05E7">
        <w:t>El organismo estatal cuenta con Matriz de Marco Lógico que sustenta su proceso de planeación, programación, seguimiento y evaluación 2021, congruente con la lógica vertical y horizontal de acuerdo a la metodología.</w:t>
      </w:r>
    </w:p>
    <w:p w14:paraId="3E75B645" w14:textId="0B2E60FA" w:rsidR="00526289" w:rsidRPr="004F05E7" w:rsidRDefault="00526289" w:rsidP="00084B2C">
      <w:pPr>
        <w:pStyle w:val="Prrafodelista"/>
        <w:numPr>
          <w:ilvl w:val="0"/>
          <w:numId w:val="7"/>
        </w:numPr>
        <w:spacing w:after="0" w:line="276" w:lineRule="auto"/>
        <w:jc w:val="both"/>
      </w:pPr>
      <w:r w:rsidRPr="004F05E7">
        <w:t>Cuenta con una estructura organizacional donde claramente se establece los objetivos para alcanzar el propósito y el fin.</w:t>
      </w:r>
    </w:p>
    <w:p w14:paraId="0D4B07E7" w14:textId="642745B7" w:rsidR="00526289" w:rsidRPr="004F05E7" w:rsidRDefault="00526289" w:rsidP="00084B2C">
      <w:pPr>
        <w:pStyle w:val="Prrafodelista"/>
        <w:numPr>
          <w:ilvl w:val="0"/>
          <w:numId w:val="7"/>
        </w:numPr>
        <w:spacing w:after="0" w:line="276" w:lineRule="auto"/>
        <w:jc w:val="both"/>
      </w:pPr>
      <w:r w:rsidRPr="004F05E7">
        <w:t>Se cuenta con mecanismos de transparencia para los recursos estatales y de transferencia federal.</w:t>
      </w:r>
    </w:p>
    <w:p w14:paraId="51AA6CD3" w14:textId="1251CA7B" w:rsidR="00526289" w:rsidRPr="004F05E7" w:rsidRDefault="00526289" w:rsidP="00084B2C">
      <w:pPr>
        <w:pStyle w:val="Prrafodelista"/>
        <w:numPr>
          <w:ilvl w:val="0"/>
          <w:numId w:val="7"/>
        </w:numPr>
        <w:spacing w:after="0" w:line="276" w:lineRule="auto"/>
        <w:jc w:val="both"/>
      </w:pPr>
      <w:r w:rsidRPr="004F05E7">
        <w:t>El presupuesto asignado a los programas que atienden directamente el objetivo del fondo, refleja un efectivo flujo del recurso asignado.</w:t>
      </w:r>
    </w:p>
    <w:p w14:paraId="7F3D2467" w14:textId="7631E52C" w:rsidR="00526289" w:rsidRPr="004F05E7" w:rsidRDefault="00526289" w:rsidP="00084B2C">
      <w:pPr>
        <w:pStyle w:val="Prrafodelista"/>
        <w:numPr>
          <w:ilvl w:val="0"/>
          <w:numId w:val="7"/>
        </w:numPr>
        <w:spacing w:after="0" w:line="276" w:lineRule="auto"/>
        <w:jc w:val="both"/>
      </w:pPr>
      <w:r w:rsidRPr="004F05E7">
        <w:t>Se cuenta con indicadores definidos que permiten dar seguimiento puntal, a los compromisos y objetivos a nivel institución, permitiendo conocer las áreas de oportunidad de mejora.</w:t>
      </w:r>
    </w:p>
    <w:p w14:paraId="7331BEEB" w14:textId="6D7B82A4" w:rsidR="00526289" w:rsidRPr="004F05E7" w:rsidRDefault="00526289" w:rsidP="00084B2C">
      <w:pPr>
        <w:pStyle w:val="Prrafodelista"/>
        <w:numPr>
          <w:ilvl w:val="0"/>
          <w:numId w:val="7"/>
        </w:numPr>
        <w:spacing w:after="0" w:line="276" w:lineRule="auto"/>
        <w:jc w:val="both"/>
      </w:pPr>
      <w:r w:rsidRPr="004F05E7">
        <w:t>Se cuenta con un excelente porcentaje de cobertura de atención a la población.</w:t>
      </w:r>
    </w:p>
    <w:p w14:paraId="364FB3EE" w14:textId="2BF82B4E" w:rsidR="00526289" w:rsidRPr="004F05E7" w:rsidRDefault="009A5027" w:rsidP="00084B2C">
      <w:pPr>
        <w:pStyle w:val="Prrafodelista"/>
        <w:numPr>
          <w:ilvl w:val="0"/>
          <w:numId w:val="7"/>
        </w:numPr>
        <w:spacing w:after="0" w:line="276" w:lineRule="auto"/>
        <w:jc w:val="both"/>
      </w:pPr>
      <w:r w:rsidRPr="004F05E7">
        <w:t>Los indicadores, metas y objetivos correspondientes a los planes cuentan con viabilidad y factibilidad para su desarrollo.</w:t>
      </w:r>
    </w:p>
    <w:p w14:paraId="6AA22CC5" w14:textId="47CFDCDC" w:rsidR="009A5027" w:rsidRPr="004F05E7" w:rsidRDefault="009A5027" w:rsidP="00084B2C">
      <w:pPr>
        <w:pStyle w:val="Prrafodelista"/>
        <w:numPr>
          <w:ilvl w:val="0"/>
          <w:numId w:val="7"/>
        </w:numPr>
        <w:spacing w:after="0" w:line="276" w:lineRule="auto"/>
        <w:jc w:val="both"/>
      </w:pPr>
      <w:r w:rsidRPr="004F05E7">
        <w:t>La relación con las Secretarías de Salud estatal y federal es fluida porque se ha estandarizado la forma en la que se presentan los requerimientos de información. Ello contribuye a agilizar las actividades de coordinación y rendición de cuenta.</w:t>
      </w:r>
    </w:p>
    <w:p w14:paraId="3BD5FC58" w14:textId="3167CDA2" w:rsidR="009A5027" w:rsidRPr="004F05E7" w:rsidRDefault="009A5027" w:rsidP="00084B2C">
      <w:pPr>
        <w:pStyle w:val="Prrafodelista"/>
        <w:numPr>
          <w:ilvl w:val="0"/>
          <w:numId w:val="7"/>
        </w:numPr>
        <w:spacing w:after="0" w:line="276" w:lineRule="auto"/>
        <w:jc w:val="both"/>
      </w:pPr>
      <w:r w:rsidRPr="004F05E7">
        <w:t>La programación se realiza colaborativamente con la participación de las áreas y por ello existe comunicación al interior del ejecutor del gasto.</w:t>
      </w:r>
    </w:p>
    <w:p w14:paraId="76488023" w14:textId="32A2BD3A" w:rsidR="009A5027" w:rsidRPr="004F05E7" w:rsidRDefault="009A5027" w:rsidP="00084B2C">
      <w:pPr>
        <w:pStyle w:val="Prrafodelista"/>
        <w:numPr>
          <w:ilvl w:val="0"/>
          <w:numId w:val="7"/>
        </w:numPr>
        <w:spacing w:after="0" w:line="276" w:lineRule="auto"/>
        <w:jc w:val="both"/>
      </w:pPr>
      <w:r w:rsidRPr="004F05E7">
        <w:t>Se dispone de sistemas de información estadística tanto federal como estatal que cuantifican los recursos humanos y materiales (SINERHIAS, las bases de datos administrativos, etcétera).</w:t>
      </w:r>
    </w:p>
    <w:p w14:paraId="28421950" w14:textId="67407D38" w:rsidR="009A5027" w:rsidRPr="004F05E7" w:rsidRDefault="009A5027" w:rsidP="00084B2C">
      <w:pPr>
        <w:pStyle w:val="Prrafodelista"/>
        <w:numPr>
          <w:ilvl w:val="0"/>
          <w:numId w:val="7"/>
        </w:numPr>
        <w:spacing w:after="0" w:line="276" w:lineRule="auto"/>
        <w:jc w:val="both"/>
      </w:pPr>
      <w:r w:rsidRPr="004F05E7">
        <w:t>A nivel federal se establecen los criterios y fórmulas de cálculo para la asignación de recursos, así como su calendarización; a nivel estatal hay manuales estandarizados para la distribución de las aportaciones.</w:t>
      </w:r>
    </w:p>
    <w:p w14:paraId="0E01D761" w14:textId="77777777" w:rsidR="008457AC" w:rsidRPr="004F05E7" w:rsidRDefault="008457AC">
      <w:pPr>
        <w:spacing w:after="0" w:line="240" w:lineRule="auto"/>
        <w:rPr>
          <w:b/>
          <w:bCs/>
        </w:rPr>
      </w:pPr>
      <w:r w:rsidRPr="004F05E7">
        <w:rPr>
          <w:b/>
          <w:bCs/>
        </w:rPr>
        <w:br w:type="page"/>
      </w:r>
    </w:p>
    <w:p w14:paraId="3A39C1FA" w14:textId="6C54D87B" w:rsidR="003E1018" w:rsidRPr="004F05E7" w:rsidRDefault="003E1018" w:rsidP="006F4B1F">
      <w:pPr>
        <w:pStyle w:val="Prrafodelista"/>
        <w:numPr>
          <w:ilvl w:val="2"/>
          <w:numId w:val="5"/>
        </w:numPr>
        <w:spacing w:after="0" w:line="276" w:lineRule="auto"/>
        <w:ind w:left="993" w:hanging="567"/>
        <w:jc w:val="both"/>
        <w:rPr>
          <w:b/>
          <w:bCs/>
        </w:rPr>
      </w:pPr>
      <w:r w:rsidRPr="004F05E7">
        <w:rPr>
          <w:b/>
          <w:bCs/>
        </w:rPr>
        <w:lastRenderedPageBreak/>
        <w:t xml:space="preserve">Oportunidades: </w:t>
      </w:r>
    </w:p>
    <w:p w14:paraId="58DA89F4" w14:textId="3E105AC7" w:rsidR="000C18FD" w:rsidRPr="004F05E7" w:rsidRDefault="009A5027" w:rsidP="000C18FD">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La disposición de información estadística puede ser un mecanismo para la elaboración de un diagnostico especifico de necesidades de recursos humanos y de infraestructura.</w:t>
      </w:r>
    </w:p>
    <w:p w14:paraId="14776734" w14:textId="5AF6490F" w:rsidR="009A5027" w:rsidRPr="004F05E7" w:rsidRDefault="009A5027" w:rsidP="000C18FD">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La contribución y el destino de las aportaciones se encuentra estandarizada a través de instrumentos federales y estatales.</w:t>
      </w:r>
    </w:p>
    <w:p w14:paraId="5B3242D7" w14:textId="715B1E78" w:rsidR="003E1018" w:rsidRPr="004F05E7" w:rsidRDefault="003E1018" w:rsidP="006F4B1F">
      <w:pPr>
        <w:pStyle w:val="Prrafodelista"/>
        <w:numPr>
          <w:ilvl w:val="2"/>
          <w:numId w:val="5"/>
        </w:numPr>
        <w:spacing w:after="0" w:line="276" w:lineRule="auto"/>
        <w:ind w:left="993" w:hanging="567"/>
        <w:jc w:val="both"/>
        <w:rPr>
          <w:b/>
          <w:bCs/>
        </w:rPr>
      </w:pPr>
      <w:r w:rsidRPr="004F05E7">
        <w:rPr>
          <w:b/>
          <w:bCs/>
        </w:rPr>
        <w:t>Debilidades</w:t>
      </w:r>
      <w:r w:rsidR="009A5027" w:rsidRPr="004F05E7">
        <w:rPr>
          <w:b/>
          <w:bCs/>
        </w:rPr>
        <w:t xml:space="preserve"> o amenazas</w:t>
      </w:r>
      <w:r w:rsidRPr="004F05E7">
        <w:rPr>
          <w:b/>
          <w:bCs/>
        </w:rPr>
        <w:t>:</w:t>
      </w:r>
    </w:p>
    <w:p w14:paraId="2D2F2AF0" w14:textId="77777777"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No existe un método claro y sistemático para la priorización de necesidades. Tampoco fue posible identificar criterios consensuados respecto a lo que constituye una necesidad insatisfecha factible de atención.  Esto puede permitir que se asignen discrecionalmente los recursos independientemente de los objetivos normativos del Fondo.</w:t>
      </w:r>
    </w:p>
    <w:p w14:paraId="058EF79B" w14:textId="77777777"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Los documentos revisados no identifican las necesidades de recursos humanos y materiales.</w:t>
      </w:r>
    </w:p>
    <w:p w14:paraId="58BDB48C" w14:textId="77777777"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Las normatividades federal y estatal no refieren la realización de diagnósticos (estableciendo características mínimas deseables como prioridad, causalidad, etcétera), que pudieran servir como instrumentos para la planeación.</w:t>
      </w:r>
    </w:p>
    <w:p w14:paraId="11D6614C" w14:textId="77777777"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Débil coordinación del área administrativa con las operativas, para la liberación del recurso destinado a los programas sustantivos.</w:t>
      </w:r>
    </w:p>
    <w:p w14:paraId="685F54E8" w14:textId="77777777"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La matriz de indicadores del fondo, no integra temas que se deberían de considerar en atención al objetivo que busca alcanzar el FASSA.</w:t>
      </w:r>
    </w:p>
    <w:p w14:paraId="2C49403E" w14:textId="77777777"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Falta de un método eficaz para calcular la cobertura estatal de los programas de atención a la salud.</w:t>
      </w:r>
    </w:p>
    <w:p w14:paraId="11325CF3" w14:textId="77777777"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La fuente de datos utilizada para calcular la cobertura de años anteriores no se considera la adecuada.</w:t>
      </w:r>
    </w:p>
    <w:p w14:paraId="54248242" w14:textId="77777777"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Limitada coordinación de las instancias federales y estatales para establecer mecanismos eficaces de asignación de recursos y por consecuente el ejercicio del recurso en tiempo.</w:t>
      </w:r>
    </w:p>
    <w:p w14:paraId="17A60FB8" w14:textId="1735BA44" w:rsidR="009A5027" w:rsidRPr="004F05E7" w:rsidRDefault="009A5027" w:rsidP="009A5027">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Recortes financieros destinados a los fondos y/o recursos, de acuerdo a políticas públicas nacionales.</w:t>
      </w:r>
    </w:p>
    <w:p w14:paraId="7182B87C" w14:textId="25BECC98" w:rsidR="000C18FD" w:rsidRPr="004F05E7" w:rsidRDefault="00397FC7" w:rsidP="000C18FD">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Débil coordinación de las instancias federales y estatales para definir en conjunto los criterios de cobertura de los programas de atención a la salud de las entidades.</w:t>
      </w:r>
    </w:p>
    <w:p w14:paraId="23BBB3B2" w14:textId="10C0EE42" w:rsidR="00397FC7" w:rsidRPr="004F05E7" w:rsidRDefault="00397FC7" w:rsidP="000C18FD">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Desconocimiento de los métodos para definir la cobertura de los programas que reciben recursos del fondo.</w:t>
      </w:r>
    </w:p>
    <w:p w14:paraId="5481025D" w14:textId="196A5516" w:rsidR="00397FC7" w:rsidRPr="004F05E7" w:rsidRDefault="00397FC7" w:rsidP="000C18FD">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Los recursos del FASSA se distribuyen en todos los conceptos de gasto para atender las necesidades de las cuatro subfunciones de salud pese a concentrarse mayoritariamente en el financiamiento de servicios personales. Como consecuencia, los recursos se encuentran dispersos y ello dificulta el control sobre los recursos.</w:t>
      </w:r>
    </w:p>
    <w:p w14:paraId="526A1CAC" w14:textId="67FAE800" w:rsidR="00397FC7" w:rsidRPr="004F05E7" w:rsidRDefault="00397FC7" w:rsidP="000C18FD">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Los medios de verificación y las fuentes de información no cuenten con las características necesarias de transparencia, es decir, carecen de una dirección electrónica o la dirección física en donde se encuentran la fuente de información y el medio de verificación.</w:t>
      </w:r>
    </w:p>
    <w:p w14:paraId="1FA333D3" w14:textId="2E43D639" w:rsidR="00FD4F42" w:rsidRPr="004F05E7" w:rsidRDefault="00FD4F42" w:rsidP="000C18FD">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La ausencia de diagnósticos de recursos humanos y de infraestructura en el nivel de los componentes de gasto no permite identificar la consistencia y actualización.</w:t>
      </w:r>
    </w:p>
    <w:p w14:paraId="1D788C03" w14:textId="2C6A5B62" w:rsidR="00FD4F42" w:rsidRPr="004F05E7" w:rsidRDefault="00FD4F42" w:rsidP="000C18FD">
      <w:pPr>
        <w:pStyle w:val="Prrafodelista"/>
        <w:numPr>
          <w:ilvl w:val="0"/>
          <w:numId w:val="8"/>
        </w:numPr>
        <w:spacing w:after="0" w:line="276" w:lineRule="auto"/>
        <w:jc w:val="both"/>
        <w:rPr>
          <w:rFonts w:eastAsia="Times New Roman"/>
          <w:color w:val="000000"/>
          <w:lang w:val="es-ES" w:eastAsia="es-MX"/>
        </w:rPr>
      </w:pPr>
      <w:r w:rsidRPr="004F05E7">
        <w:rPr>
          <w:rFonts w:eastAsia="Times New Roman"/>
          <w:color w:val="000000"/>
          <w:lang w:val="es-ES" w:eastAsia="es-MX"/>
        </w:rPr>
        <w:t>El acuerdo de descentralización no ha tenido actualizaciones desde el año en que se suscribió (2002).</w:t>
      </w:r>
    </w:p>
    <w:p w14:paraId="140776C9" w14:textId="77777777" w:rsidR="000C18FD" w:rsidRPr="004F05E7" w:rsidRDefault="000C18FD">
      <w:r w:rsidRPr="004F05E7">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rsidRPr="004F05E7" w14:paraId="2071B523" w14:textId="77777777" w:rsidTr="00090637">
        <w:trPr>
          <w:trHeight w:val="340"/>
        </w:trPr>
        <w:tc>
          <w:tcPr>
            <w:tcW w:w="9910" w:type="dxa"/>
            <w:shd w:val="clear" w:color="auto" w:fill="651D32"/>
            <w:vAlign w:val="center"/>
          </w:tcPr>
          <w:p w14:paraId="0D736EE3" w14:textId="4963C849" w:rsidR="00AF2993" w:rsidRPr="004F05E7" w:rsidRDefault="00AF2993" w:rsidP="006F4B1F">
            <w:pPr>
              <w:pStyle w:val="Prrafodelista"/>
              <w:numPr>
                <w:ilvl w:val="0"/>
                <w:numId w:val="4"/>
              </w:numPr>
              <w:spacing w:after="0" w:line="276" w:lineRule="auto"/>
            </w:pPr>
            <w:r w:rsidRPr="004F05E7">
              <w:rPr>
                <w:b/>
                <w:bCs/>
                <w:color w:val="FFFFFF" w:themeColor="background1"/>
              </w:rPr>
              <w:lastRenderedPageBreak/>
              <w:t>Conclusiones y Recomendaciones de la Evaluación</w:t>
            </w:r>
          </w:p>
        </w:tc>
      </w:tr>
      <w:tr w:rsidR="006505C2" w:rsidRPr="004F05E7"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4F05E7" w:rsidRDefault="006505C2" w:rsidP="006F4B1F">
            <w:pPr>
              <w:pStyle w:val="Prrafodelista"/>
              <w:numPr>
                <w:ilvl w:val="1"/>
                <w:numId w:val="9"/>
              </w:numPr>
              <w:spacing w:after="0" w:line="276" w:lineRule="auto"/>
              <w:ind w:left="567"/>
              <w:rPr>
                <w:b/>
                <w:bCs/>
              </w:rPr>
            </w:pPr>
            <w:r w:rsidRPr="004F05E7">
              <w:rPr>
                <w:b/>
                <w:bCs/>
              </w:rPr>
              <w:t xml:space="preserve">Describir brevemente las conclusiones de la evaluación: </w:t>
            </w:r>
          </w:p>
        </w:tc>
      </w:tr>
    </w:tbl>
    <w:p w14:paraId="0D6ED3B9" w14:textId="77777777" w:rsidR="0058664C" w:rsidRPr="004F05E7" w:rsidRDefault="0058664C" w:rsidP="00AD2902">
      <w:pPr>
        <w:tabs>
          <w:tab w:val="left" w:pos="2235"/>
        </w:tabs>
        <w:spacing w:after="0" w:line="276" w:lineRule="auto"/>
        <w:ind w:left="284"/>
        <w:jc w:val="both"/>
        <w:rPr>
          <w:lang w:val="es-ES"/>
        </w:rPr>
      </w:pPr>
      <w:r w:rsidRPr="004F05E7">
        <w:rPr>
          <w:lang w:val="es-ES"/>
        </w:rPr>
        <w:t xml:space="preserve">Los objetivos principales de la evaluación fueron tres: </w:t>
      </w:r>
    </w:p>
    <w:p w14:paraId="6FBD1075" w14:textId="590A2D9B" w:rsidR="0058664C" w:rsidRPr="004F05E7" w:rsidRDefault="0058664C" w:rsidP="00AD2902">
      <w:pPr>
        <w:pStyle w:val="Prrafodelista"/>
        <w:numPr>
          <w:ilvl w:val="0"/>
          <w:numId w:val="19"/>
        </w:numPr>
        <w:tabs>
          <w:tab w:val="left" w:pos="2235"/>
        </w:tabs>
        <w:spacing w:after="0" w:line="276" w:lineRule="auto"/>
        <w:ind w:left="811" w:hanging="357"/>
        <w:jc w:val="both"/>
        <w:rPr>
          <w:lang w:val="es-ES"/>
        </w:rPr>
      </w:pPr>
      <w:r w:rsidRPr="004F05E7">
        <w:rPr>
          <w:lang w:val="es-ES"/>
        </w:rPr>
        <w:t>Validar las lógicas horizontal y vertical de los programas presupuestarios, así como su relación con las MIR de los Fondos del Ramo 33;</w:t>
      </w:r>
    </w:p>
    <w:p w14:paraId="432D57CF" w14:textId="5A60CD15" w:rsidR="0058664C" w:rsidRPr="004F05E7" w:rsidRDefault="0058664C" w:rsidP="00AD2902">
      <w:pPr>
        <w:pStyle w:val="Prrafodelista"/>
        <w:numPr>
          <w:ilvl w:val="0"/>
          <w:numId w:val="19"/>
        </w:numPr>
        <w:tabs>
          <w:tab w:val="left" w:pos="2235"/>
        </w:tabs>
        <w:spacing w:after="0" w:line="276" w:lineRule="auto"/>
        <w:ind w:left="811" w:hanging="357"/>
        <w:jc w:val="both"/>
        <w:rPr>
          <w:lang w:val="es-ES"/>
        </w:rPr>
      </w:pPr>
      <w:r w:rsidRPr="004F05E7">
        <w:rPr>
          <w:lang w:val="es-ES"/>
        </w:rPr>
        <w:t xml:space="preserve">Dimensionar el avance en el cumplimiento de metas establecidas de los programas presupuestarios con recursos del Ramo 33 y de las metas del fondo correspondiente durante el ejercicio fiscal 2020; y </w:t>
      </w:r>
    </w:p>
    <w:p w14:paraId="3D8E6B0E" w14:textId="35CAF9A2" w:rsidR="0058664C" w:rsidRPr="004F05E7" w:rsidRDefault="0058664C" w:rsidP="00AD2902">
      <w:pPr>
        <w:pStyle w:val="Prrafodelista"/>
        <w:numPr>
          <w:ilvl w:val="0"/>
          <w:numId w:val="19"/>
        </w:numPr>
        <w:tabs>
          <w:tab w:val="left" w:pos="2235"/>
        </w:tabs>
        <w:spacing w:after="0" w:line="276" w:lineRule="auto"/>
        <w:ind w:left="811" w:hanging="357"/>
        <w:jc w:val="both"/>
        <w:rPr>
          <w:lang w:val="es-ES"/>
        </w:rPr>
      </w:pPr>
      <w:r w:rsidRPr="004F05E7">
        <w:rPr>
          <w:lang w:val="es-ES"/>
        </w:rPr>
        <w:t xml:space="preserve">Determinar la evolución de la cobertura y el presupuesto de los programas para los ejercicios anuales anteriores. </w:t>
      </w:r>
    </w:p>
    <w:p w14:paraId="1BADBD2C" w14:textId="77777777" w:rsidR="0058664C" w:rsidRPr="004F05E7" w:rsidRDefault="0058664C" w:rsidP="00AD2902">
      <w:pPr>
        <w:tabs>
          <w:tab w:val="left" w:pos="2235"/>
        </w:tabs>
        <w:spacing w:after="0" w:line="276" w:lineRule="auto"/>
        <w:ind w:left="284"/>
        <w:jc w:val="both"/>
        <w:rPr>
          <w:lang w:val="es-ES"/>
        </w:rPr>
      </w:pPr>
      <w:r w:rsidRPr="004F05E7">
        <w:rPr>
          <w:lang w:val="es-ES"/>
        </w:rPr>
        <w:t xml:space="preserve">Sobre el análisis de la validez de la lógica vertical, en términos generales, se obtuvo que la mayoría de los objetivos que corresponden a cada uno de los niveles analizados en la evaluación – Fin, Propósito y Componentes-, cumplen parcialmente con los criterios de sintaxis, coherencia y claridad propuestos por la </w:t>
      </w:r>
      <w:r w:rsidRPr="004F05E7">
        <w:rPr>
          <w:i/>
          <w:lang w:val="es-ES"/>
        </w:rPr>
        <w:t>Guía para la Elaboración de la Matriz de Indicadores para Resultados del Coneval (2013)</w:t>
      </w:r>
      <w:r w:rsidRPr="004F05E7">
        <w:rPr>
          <w:lang w:val="es-ES"/>
        </w:rPr>
        <w:t>. Además, no se analizó el nivel de actividades por no formar parte del objeto de estudio de esta evaluación, aunque estas sí son llevadas a cabo por la dependencia. En el caso de los Supuestos éstos no representan factores externos que deban cumplirse para el logro de los objetivos, por lo tanto, aún pueden ser mejorados para validar con suficiencia la lógica vertical de los programas.</w:t>
      </w:r>
    </w:p>
    <w:p w14:paraId="733F0697" w14:textId="77777777" w:rsidR="0058664C" w:rsidRPr="004F05E7" w:rsidRDefault="0058664C" w:rsidP="00AD2902">
      <w:pPr>
        <w:tabs>
          <w:tab w:val="left" w:pos="2235"/>
        </w:tabs>
        <w:spacing w:after="0" w:line="276" w:lineRule="auto"/>
        <w:ind w:left="284"/>
        <w:jc w:val="both"/>
        <w:rPr>
          <w:lang w:val="es-ES"/>
        </w:rPr>
      </w:pPr>
      <w:r w:rsidRPr="004F05E7">
        <w:rPr>
          <w:lang w:val="es-ES"/>
        </w:rPr>
        <w:t xml:space="preserve">En cuanto a la validez de la lógica horizontal, se observó que la mayoría de los indicadores propuestos no resultaron ser pertinentes para medir el avance y cumplimiento de las metas u objetivos propuestos por los programas presupuestarios. Además, por lo general no cumplen con la sintaxis propuesta por el CONEVAL de mostrar una relación de dos variables que permitan hacer una comparación. Así, la lógica horizontal tampoco pudo ser validada. </w:t>
      </w:r>
    </w:p>
    <w:p w14:paraId="53ECC53E" w14:textId="64DC902A" w:rsidR="0058664C" w:rsidRPr="004F05E7" w:rsidRDefault="0058664C" w:rsidP="00AD2902">
      <w:pPr>
        <w:tabs>
          <w:tab w:val="left" w:pos="2235"/>
        </w:tabs>
        <w:spacing w:after="0" w:line="276" w:lineRule="auto"/>
        <w:ind w:left="284"/>
        <w:jc w:val="both"/>
        <w:rPr>
          <w:lang w:val="es-ES"/>
        </w:rPr>
      </w:pPr>
      <w:r w:rsidRPr="004F05E7">
        <w:rPr>
          <w:lang w:val="es-ES"/>
        </w:rPr>
        <w:t xml:space="preserve">Con relación al segundo objetivo, que corresponde al análisis de los avances para el cumplimiento de metas establecidas de los programas presupuestarios y de las metas del fondo correspondiente durante el ejercicio fiscal 2021 se identificó, por un lado, que las metas planteadas fueron logradas, incluso superaron el 100% de cumplimiento, sin embargo, algunos se quedaron por debajo de la meta o no se encontró información al respecto. Además, se observó que la mayoría de las unidades de medida refleja el logro efectivo de sus objetivos. </w:t>
      </w:r>
    </w:p>
    <w:p w14:paraId="25100AE1" w14:textId="457DB283" w:rsidR="00BB6D7C" w:rsidRPr="004F05E7" w:rsidRDefault="0058664C" w:rsidP="00AD2902">
      <w:pPr>
        <w:tabs>
          <w:tab w:val="left" w:pos="2235"/>
        </w:tabs>
        <w:spacing w:after="0" w:line="276" w:lineRule="auto"/>
        <w:ind w:left="284"/>
        <w:jc w:val="both"/>
        <w:rPr>
          <w:lang w:val="es-ES"/>
        </w:rPr>
      </w:pPr>
      <w:r w:rsidRPr="004F05E7">
        <w:rPr>
          <w:lang w:val="es-ES"/>
        </w:rPr>
        <w:t>Para el tercer objetivo se observó que, se carece de una definición suficiente de su población objetivo. Además, no se cuenta con información confiable sobre la cobertura real de la población atendida. Esto no permitió conocer la evolución de la cobertura de manera adecuada. En cuanto a la asignación histórica del presupuesto, se observó que algunos programas presupuestarios reflejan incrementos significativos para 2021.</w:t>
      </w:r>
    </w:p>
    <w:tbl>
      <w:tblPr>
        <w:tblStyle w:val="Tablaconcuadrcula"/>
        <w:tblW w:w="0" w:type="auto"/>
        <w:tblLook w:val="04A0" w:firstRow="1" w:lastRow="0" w:firstColumn="1" w:lastColumn="0" w:noHBand="0" w:noVBand="1"/>
      </w:tblPr>
      <w:tblGrid>
        <w:gridCol w:w="9910"/>
      </w:tblGrid>
      <w:tr w:rsidR="00BB6D7C" w:rsidRPr="004F05E7"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Pr="004F05E7" w:rsidRDefault="00BB6D7C" w:rsidP="00AD2902">
            <w:pPr>
              <w:pStyle w:val="Prrafodelista"/>
              <w:numPr>
                <w:ilvl w:val="1"/>
                <w:numId w:val="9"/>
              </w:numPr>
              <w:spacing w:after="0" w:line="276" w:lineRule="auto"/>
              <w:ind w:left="567"/>
              <w:rPr>
                <w:lang w:val="es-ES"/>
              </w:rPr>
            </w:pPr>
            <w:r w:rsidRPr="004F05E7">
              <w:rPr>
                <w:b/>
                <w:bCs/>
              </w:rPr>
              <w:t>Describir las recomendaciones de acuerdo a su relevancia:</w:t>
            </w:r>
          </w:p>
        </w:tc>
      </w:tr>
    </w:tbl>
    <w:p w14:paraId="5E73FBC3" w14:textId="41ED3116" w:rsidR="000C18FD" w:rsidRPr="004F05E7" w:rsidRDefault="00D31524" w:rsidP="00AD2902">
      <w:pPr>
        <w:pStyle w:val="Prrafodelista"/>
        <w:numPr>
          <w:ilvl w:val="0"/>
          <w:numId w:val="2"/>
        </w:numPr>
        <w:spacing w:after="0" w:line="276" w:lineRule="auto"/>
        <w:ind w:left="567" w:hanging="283"/>
        <w:jc w:val="both"/>
      </w:pPr>
      <w:r w:rsidRPr="004F05E7">
        <w:t>Continuar con la implementación de la MML para la obtención de árboles de problemas y objetivos y sus respectivas MIR en el área de Atención Médica.</w:t>
      </w:r>
    </w:p>
    <w:p w14:paraId="13B92FA8" w14:textId="5C34CF51" w:rsidR="00D31524" w:rsidRPr="004F05E7" w:rsidRDefault="00D31524" w:rsidP="00AD2902">
      <w:pPr>
        <w:pStyle w:val="Prrafodelista"/>
        <w:numPr>
          <w:ilvl w:val="0"/>
          <w:numId w:val="2"/>
        </w:numPr>
        <w:spacing w:after="0" w:line="276" w:lineRule="auto"/>
        <w:ind w:left="567" w:hanging="283"/>
        <w:jc w:val="both"/>
      </w:pPr>
      <w:r w:rsidRPr="004F05E7">
        <w:t xml:space="preserve">Continuar con la promoción que la normatividad federal y/o estatal, -como la Ley General de Salud o los Manuales de Procesos de los SSS contemplen la elaboración periódica de diagnósticos causales respecto a las necesidades de recursos humanos e infraestructura a partir de los componentes y las subfunciones de la estructura programática homologada. </w:t>
      </w:r>
    </w:p>
    <w:p w14:paraId="42660DE2" w14:textId="77777777" w:rsidR="00D31524" w:rsidRPr="004F05E7" w:rsidRDefault="00D31524" w:rsidP="00AD2902">
      <w:pPr>
        <w:pStyle w:val="Prrafodelista"/>
        <w:numPr>
          <w:ilvl w:val="0"/>
          <w:numId w:val="2"/>
        </w:numPr>
        <w:spacing w:after="0" w:line="276" w:lineRule="auto"/>
        <w:ind w:left="567" w:hanging="283"/>
        <w:jc w:val="both"/>
      </w:pPr>
      <w:r w:rsidRPr="004F05E7">
        <w:lastRenderedPageBreak/>
        <w:t xml:space="preserve">Elaborar y documentar adecuadamente los criterios para la asignación de los recursos, con base en la identificación de necesidades, que les permita realizar una priorización en su atención. </w:t>
      </w:r>
    </w:p>
    <w:p w14:paraId="602F6660" w14:textId="77777777" w:rsidR="00D31524" w:rsidRPr="004F05E7" w:rsidRDefault="00D31524" w:rsidP="00AD2902">
      <w:pPr>
        <w:pStyle w:val="Prrafodelista"/>
        <w:numPr>
          <w:ilvl w:val="0"/>
          <w:numId w:val="2"/>
        </w:numPr>
        <w:spacing w:after="0" w:line="276" w:lineRule="auto"/>
        <w:ind w:left="567" w:hanging="283"/>
        <w:jc w:val="both"/>
      </w:pPr>
      <w:r w:rsidRPr="004F05E7">
        <w:t xml:space="preserve">Realizar el registro del ejercicio de los recursos del Fondo por niveles de atención, tipo de personal y distribución geográfica al interior de la entidad federativa, para poder definir una estrategia que le permita a los SSS realizar una adecuada asignación de recursos con la finalidad de cubrir de manera más eficiente los requerimientos. </w:t>
      </w:r>
    </w:p>
    <w:p w14:paraId="15775176" w14:textId="7DFD8103" w:rsidR="00D31524" w:rsidRPr="004F05E7" w:rsidRDefault="00D31524" w:rsidP="00AD2902">
      <w:pPr>
        <w:pStyle w:val="Prrafodelista"/>
        <w:numPr>
          <w:ilvl w:val="0"/>
          <w:numId w:val="2"/>
        </w:numPr>
        <w:spacing w:after="0" w:line="276" w:lineRule="auto"/>
        <w:ind w:left="567" w:hanging="283"/>
        <w:jc w:val="both"/>
      </w:pPr>
      <w:r w:rsidRPr="004F05E7">
        <w:t xml:space="preserve">Realizar un reporte detallado del ejercicio de los recursos del FASSA por tipo de personal, en el que se identifiquen el personal médico, administrativo, enfermeras y auxiliares, y otros. </w:t>
      </w:r>
    </w:p>
    <w:p w14:paraId="014B49A1" w14:textId="18B8FA61" w:rsidR="002B666E" w:rsidRPr="004F05E7" w:rsidRDefault="0014035F" w:rsidP="00AD2902">
      <w:pPr>
        <w:pStyle w:val="Prrafodelista"/>
        <w:numPr>
          <w:ilvl w:val="0"/>
          <w:numId w:val="2"/>
        </w:numPr>
        <w:spacing w:after="0" w:line="276" w:lineRule="auto"/>
        <w:ind w:left="567" w:hanging="283"/>
        <w:jc w:val="both"/>
      </w:pPr>
      <w:r w:rsidRPr="004F05E7">
        <w:t>Llevar a cabo</w:t>
      </w:r>
      <w:r w:rsidR="002B666E" w:rsidRPr="004F05E7">
        <w:t xml:space="preserve"> un proceso especifico para realizar la conciliación de la plantilla de personal con la Federación.</w:t>
      </w:r>
    </w:p>
    <w:p w14:paraId="1D7CD484" w14:textId="77777777" w:rsidR="00D31524" w:rsidRPr="004F05E7" w:rsidRDefault="00D31524" w:rsidP="00AD2902">
      <w:pPr>
        <w:pStyle w:val="Prrafodelista"/>
        <w:numPr>
          <w:ilvl w:val="0"/>
          <w:numId w:val="2"/>
        </w:numPr>
        <w:spacing w:after="0" w:line="276" w:lineRule="auto"/>
        <w:ind w:left="567" w:hanging="283"/>
        <w:jc w:val="both"/>
      </w:pPr>
      <w:r w:rsidRPr="004F05E7">
        <w:t xml:space="preserve">Definir estrategias que permitan atender cada uno de los retos identificados para la prestación de los servicios de salud pública. </w:t>
      </w:r>
    </w:p>
    <w:p w14:paraId="58F18BB7" w14:textId="77777777" w:rsidR="00D31524" w:rsidRPr="004F05E7" w:rsidRDefault="00D31524" w:rsidP="00AD2902">
      <w:pPr>
        <w:pStyle w:val="Prrafodelista"/>
        <w:numPr>
          <w:ilvl w:val="0"/>
          <w:numId w:val="2"/>
        </w:numPr>
        <w:spacing w:after="0" w:line="276" w:lineRule="auto"/>
        <w:ind w:left="567" w:hanging="283"/>
        <w:jc w:val="both"/>
      </w:pPr>
      <w:r w:rsidRPr="004F05E7">
        <w:t xml:space="preserve">Establecer mecanismos para la generación de información actualizada respecto de la plantilla de personal y la infraestructura para la atención de los servicios de salud en la entidad. </w:t>
      </w:r>
    </w:p>
    <w:p w14:paraId="4380ED96" w14:textId="22731EEA" w:rsidR="00D31524" w:rsidRPr="004F05E7" w:rsidRDefault="00D31524" w:rsidP="00AD2902">
      <w:pPr>
        <w:pStyle w:val="Prrafodelista"/>
        <w:numPr>
          <w:ilvl w:val="0"/>
          <w:numId w:val="2"/>
        </w:numPr>
        <w:spacing w:after="0" w:line="276" w:lineRule="auto"/>
        <w:ind w:left="567" w:hanging="283"/>
        <w:jc w:val="both"/>
      </w:pPr>
      <w:r w:rsidRPr="004F05E7">
        <w:t>Se recomienda elaborar un diagnóstico específico que permita mostrar la plantilla óptima que se financia con FASSA y que sirva como un elemento base para revisar el acuerdo de descentralización.</w:t>
      </w:r>
    </w:p>
    <w:p w14:paraId="3575A9BD" w14:textId="087DF435" w:rsidR="002B666E" w:rsidRPr="004F05E7" w:rsidRDefault="002B666E" w:rsidP="00AD2902">
      <w:pPr>
        <w:pStyle w:val="Prrafodelista"/>
        <w:numPr>
          <w:ilvl w:val="0"/>
          <w:numId w:val="2"/>
        </w:numPr>
        <w:spacing w:after="0" w:line="276" w:lineRule="auto"/>
        <w:ind w:left="567" w:hanging="283"/>
        <w:jc w:val="both"/>
      </w:pPr>
      <w:r w:rsidRPr="004F05E7">
        <w:t>Llevar a cabo un procedimiento administrativo oficial para la validación de los datos antes de cargar la información al Sistema de Reporte de Recursos Federales Transferidos (SRFT)</w:t>
      </w:r>
      <w:r w:rsidR="00E93107" w:rsidRPr="004F05E7">
        <w:t>.</w:t>
      </w:r>
    </w:p>
    <w:p w14:paraId="6875A774" w14:textId="77777777" w:rsidR="000D2A1A" w:rsidRPr="004F05E7" w:rsidRDefault="000D2A1A" w:rsidP="00A165BB">
      <w:pPr>
        <w:spacing w:after="0" w:line="276" w:lineRule="auto"/>
        <w:rPr>
          <w:b/>
          <w:bCs/>
          <w:color w:val="FFFFFF" w:themeColor="background1"/>
        </w:rPr>
      </w:pPr>
    </w:p>
    <w:p w14:paraId="05AC33A6" w14:textId="77777777" w:rsidR="00A165BB" w:rsidRPr="004F05E7" w:rsidRDefault="00A165BB"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rsidRPr="004F05E7"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Pr="004F05E7" w:rsidRDefault="00BB6D7C" w:rsidP="006F4B1F">
            <w:pPr>
              <w:pStyle w:val="Prrafodelista"/>
              <w:numPr>
                <w:ilvl w:val="0"/>
                <w:numId w:val="4"/>
              </w:numPr>
              <w:spacing w:after="0" w:line="276" w:lineRule="auto"/>
            </w:pPr>
            <w:r w:rsidRPr="004F05E7">
              <w:rPr>
                <w:b/>
                <w:bCs/>
                <w:color w:val="FFFFFF" w:themeColor="background1"/>
              </w:rPr>
              <w:t>Datos de la Instancia Evaluadora</w:t>
            </w:r>
          </w:p>
        </w:tc>
      </w:tr>
      <w:tr w:rsidR="006C747D" w:rsidRPr="004F05E7"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4F05E7" w:rsidRDefault="006C747D" w:rsidP="006F4B1F">
            <w:pPr>
              <w:pStyle w:val="Prrafodelista"/>
              <w:numPr>
                <w:ilvl w:val="1"/>
                <w:numId w:val="12"/>
              </w:numPr>
              <w:spacing w:after="0" w:line="276" w:lineRule="auto"/>
              <w:ind w:left="604"/>
              <w:rPr>
                <w:b/>
                <w:bCs/>
              </w:rPr>
            </w:pPr>
            <w:r w:rsidRPr="004F05E7">
              <w:rPr>
                <w:b/>
                <w:bCs/>
              </w:rPr>
              <w:t>Nombre del Coordinador de la Evaluación:</w:t>
            </w:r>
          </w:p>
        </w:tc>
      </w:tr>
      <w:tr w:rsidR="00133709" w:rsidRPr="004F05E7" w14:paraId="1F81D70A" w14:textId="77777777" w:rsidTr="00AD2902">
        <w:trPr>
          <w:trHeight w:val="340"/>
        </w:trPr>
        <w:tc>
          <w:tcPr>
            <w:tcW w:w="9910" w:type="dxa"/>
            <w:tcBorders>
              <w:top w:val="nil"/>
              <w:left w:val="nil"/>
              <w:bottom w:val="nil"/>
              <w:right w:val="nil"/>
            </w:tcBorders>
            <w:shd w:val="clear" w:color="auto" w:fill="auto"/>
            <w:vAlign w:val="center"/>
          </w:tcPr>
          <w:p w14:paraId="29FB0F2C" w14:textId="73B6E63E" w:rsidR="006C747D" w:rsidRPr="004F05E7" w:rsidRDefault="008457AC" w:rsidP="00521401">
            <w:pPr>
              <w:spacing w:after="0" w:line="276" w:lineRule="auto"/>
              <w:ind w:left="179"/>
            </w:pPr>
            <w:r w:rsidRPr="004F05E7">
              <w:t>C.P.C. Francisco Javier Ames Cebreros</w:t>
            </w:r>
          </w:p>
        </w:tc>
      </w:tr>
      <w:tr w:rsidR="006C747D" w:rsidRPr="004F05E7" w14:paraId="0E91E1AA" w14:textId="77777777" w:rsidTr="003F6695">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4F05E7" w:rsidRDefault="006C747D" w:rsidP="006F4B1F">
            <w:pPr>
              <w:pStyle w:val="Prrafodelista"/>
              <w:numPr>
                <w:ilvl w:val="1"/>
                <w:numId w:val="12"/>
              </w:numPr>
              <w:spacing w:after="0" w:line="276" w:lineRule="auto"/>
              <w:ind w:left="604"/>
              <w:rPr>
                <w:b/>
                <w:bCs/>
              </w:rPr>
            </w:pPr>
            <w:r w:rsidRPr="004F05E7">
              <w:rPr>
                <w:b/>
                <w:bCs/>
              </w:rPr>
              <w:t>Cargo:</w:t>
            </w:r>
          </w:p>
        </w:tc>
      </w:tr>
      <w:tr w:rsidR="00133709" w:rsidRPr="004F05E7" w14:paraId="24B63811" w14:textId="77777777" w:rsidTr="00AD2902">
        <w:trPr>
          <w:trHeight w:val="340"/>
        </w:trPr>
        <w:tc>
          <w:tcPr>
            <w:tcW w:w="9910" w:type="dxa"/>
            <w:tcBorders>
              <w:top w:val="nil"/>
              <w:left w:val="nil"/>
              <w:bottom w:val="nil"/>
              <w:right w:val="nil"/>
            </w:tcBorders>
            <w:shd w:val="clear" w:color="auto" w:fill="auto"/>
            <w:vAlign w:val="center"/>
          </w:tcPr>
          <w:p w14:paraId="0D8AE66A" w14:textId="160CF8D6" w:rsidR="006C747D" w:rsidRPr="004F05E7" w:rsidRDefault="008457AC" w:rsidP="00521401">
            <w:pPr>
              <w:spacing w:after="0" w:line="276" w:lineRule="auto"/>
              <w:ind w:left="179"/>
            </w:pPr>
            <w:r w:rsidRPr="004F05E7">
              <w:t>Director General</w:t>
            </w:r>
          </w:p>
        </w:tc>
      </w:tr>
      <w:tr w:rsidR="006C747D" w:rsidRPr="004F05E7" w14:paraId="5822B46E" w14:textId="77777777" w:rsidTr="003F6695">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4F05E7" w:rsidRDefault="006C747D" w:rsidP="006F4B1F">
            <w:pPr>
              <w:pStyle w:val="Prrafodelista"/>
              <w:numPr>
                <w:ilvl w:val="1"/>
                <w:numId w:val="12"/>
              </w:numPr>
              <w:spacing w:after="0" w:line="276" w:lineRule="auto"/>
              <w:ind w:left="604"/>
              <w:rPr>
                <w:b/>
                <w:bCs/>
              </w:rPr>
            </w:pPr>
            <w:r w:rsidRPr="004F05E7">
              <w:rPr>
                <w:b/>
                <w:bCs/>
              </w:rPr>
              <w:t>Institución a la que Pertenece:</w:t>
            </w:r>
          </w:p>
        </w:tc>
      </w:tr>
      <w:tr w:rsidR="006C747D" w:rsidRPr="004F05E7" w14:paraId="6F666A31" w14:textId="77777777" w:rsidTr="00AD2902">
        <w:trPr>
          <w:trHeight w:val="340"/>
        </w:trPr>
        <w:tc>
          <w:tcPr>
            <w:tcW w:w="9910" w:type="dxa"/>
            <w:tcBorders>
              <w:top w:val="nil"/>
              <w:left w:val="nil"/>
              <w:bottom w:val="nil"/>
              <w:right w:val="nil"/>
            </w:tcBorders>
            <w:shd w:val="clear" w:color="auto" w:fill="auto"/>
            <w:vAlign w:val="center"/>
          </w:tcPr>
          <w:p w14:paraId="4670C5F0" w14:textId="2CBB8051" w:rsidR="006C747D" w:rsidRPr="004F05E7" w:rsidRDefault="008457AC" w:rsidP="00521401">
            <w:pPr>
              <w:spacing w:after="0" w:line="276" w:lineRule="auto"/>
              <w:ind w:left="179"/>
            </w:pPr>
            <w:r w:rsidRPr="004F05E7">
              <w:t>Chávez, Ames y Cía., S.C.</w:t>
            </w:r>
          </w:p>
        </w:tc>
      </w:tr>
      <w:tr w:rsidR="006C747D" w:rsidRPr="004F05E7" w14:paraId="1DCAC588" w14:textId="77777777" w:rsidTr="003F6695">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4F05E7" w:rsidRDefault="006C747D" w:rsidP="006F4B1F">
            <w:pPr>
              <w:pStyle w:val="Prrafodelista"/>
              <w:numPr>
                <w:ilvl w:val="1"/>
                <w:numId w:val="12"/>
              </w:numPr>
              <w:spacing w:after="0" w:line="276" w:lineRule="auto"/>
              <w:ind w:left="604"/>
              <w:rPr>
                <w:b/>
                <w:bCs/>
              </w:rPr>
            </w:pPr>
            <w:r w:rsidRPr="004F05E7">
              <w:rPr>
                <w:b/>
                <w:bCs/>
              </w:rPr>
              <w:t>Principales Colaboradores:</w:t>
            </w:r>
          </w:p>
        </w:tc>
      </w:tr>
      <w:tr w:rsidR="006C747D" w:rsidRPr="004F05E7" w14:paraId="717D4485" w14:textId="77777777" w:rsidTr="00AD2902">
        <w:trPr>
          <w:trHeight w:val="340"/>
        </w:trPr>
        <w:tc>
          <w:tcPr>
            <w:tcW w:w="9910" w:type="dxa"/>
            <w:tcBorders>
              <w:top w:val="nil"/>
              <w:left w:val="nil"/>
              <w:bottom w:val="nil"/>
              <w:right w:val="nil"/>
            </w:tcBorders>
            <w:shd w:val="clear" w:color="auto" w:fill="auto"/>
            <w:vAlign w:val="center"/>
          </w:tcPr>
          <w:p w14:paraId="42012BC4" w14:textId="77777777" w:rsidR="006C747D" w:rsidRPr="004F05E7" w:rsidRDefault="004F05E7" w:rsidP="00521401">
            <w:pPr>
              <w:spacing w:after="0" w:line="276" w:lineRule="auto"/>
              <w:ind w:left="179"/>
            </w:pPr>
            <w:r w:rsidRPr="004F05E7">
              <w:t>Lin. Fernando Zamudio Trujillo</w:t>
            </w:r>
          </w:p>
          <w:p w14:paraId="0708A3B6" w14:textId="1D72859C" w:rsidR="004F05E7" w:rsidRPr="004F05E7" w:rsidRDefault="004F05E7" w:rsidP="00521401">
            <w:pPr>
              <w:spacing w:after="0" w:line="276" w:lineRule="auto"/>
              <w:ind w:left="179"/>
            </w:pPr>
            <w:r w:rsidRPr="004F05E7">
              <w:t>Ing. Emilio Hernández Sandoval</w:t>
            </w:r>
          </w:p>
        </w:tc>
      </w:tr>
      <w:tr w:rsidR="006C747D" w:rsidRPr="004F05E7" w14:paraId="2C91F323" w14:textId="77777777" w:rsidTr="003F6695">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4F05E7" w:rsidRDefault="006C747D" w:rsidP="006F4B1F">
            <w:pPr>
              <w:pStyle w:val="Prrafodelista"/>
              <w:numPr>
                <w:ilvl w:val="1"/>
                <w:numId w:val="12"/>
              </w:numPr>
              <w:spacing w:after="0" w:line="276" w:lineRule="auto"/>
              <w:ind w:left="604"/>
              <w:rPr>
                <w:b/>
                <w:bCs/>
              </w:rPr>
            </w:pPr>
            <w:r w:rsidRPr="004F05E7">
              <w:rPr>
                <w:b/>
                <w:bCs/>
              </w:rPr>
              <w:t>Correo Electrónico del Coordinador de la Evaluación:</w:t>
            </w:r>
          </w:p>
        </w:tc>
      </w:tr>
      <w:tr w:rsidR="006C747D" w:rsidRPr="004F05E7" w14:paraId="2838CAD1" w14:textId="77777777" w:rsidTr="00AD2902">
        <w:trPr>
          <w:trHeight w:val="340"/>
        </w:trPr>
        <w:tc>
          <w:tcPr>
            <w:tcW w:w="9910" w:type="dxa"/>
            <w:tcBorders>
              <w:top w:val="nil"/>
              <w:left w:val="nil"/>
              <w:bottom w:val="nil"/>
              <w:right w:val="nil"/>
            </w:tcBorders>
            <w:shd w:val="clear" w:color="auto" w:fill="auto"/>
            <w:vAlign w:val="center"/>
          </w:tcPr>
          <w:p w14:paraId="76294494" w14:textId="49C37CCE" w:rsidR="006C747D" w:rsidRPr="004F05E7" w:rsidRDefault="00BC28C4" w:rsidP="00521401">
            <w:pPr>
              <w:spacing w:after="0" w:line="276" w:lineRule="auto"/>
              <w:ind w:left="179"/>
            </w:pPr>
            <w:hyperlink r:id="rId12" w:history="1">
              <w:r w:rsidR="008457AC" w:rsidRPr="004F05E7">
                <w:rPr>
                  <w:rStyle w:val="Hipervnculo"/>
                </w:rPr>
                <w:t>ames@mgichavezames.com</w:t>
              </w:r>
            </w:hyperlink>
            <w:r w:rsidR="008457AC" w:rsidRPr="004F05E7">
              <w:t xml:space="preserve"> </w:t>
            </w:r>
          </w:p>
        </w:tc>
      </w:tr>
      <w:tr w:rsidR="006C747D" w:rsidRPr="004F05E7" w14:paraId="3E62001F" w14:textId="77777777" w:rsidTr="003F6695">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4F05E7" w:rsidRDefault="006C747D" w:rsidP="006F4B1F">
            <w:pPr>
              <w:pStyle w:val="Prrafodelista"/>
              <w:numPr>
                <w:ilvl w:val="1"/>
                <w:numId w:val="12"/>
              </w:numPr>
              <w:spacing w:after="0" w:line="276" w:lineRule="auto"/>
              <w:ind w:left="604"/>
              <w:rPr>
                <w:b/>
                <w:bCs/>
              </w:rPr>
            </w:pPr>
            <w:r w:rsidRPr="004F05E7">
              <w:rPr>
                <w:b/>
                <w:bCs/>
              </w:rPr>
              <w:t>Teléfono:</w:t>
            </w:r>
          </w:p>
        </w:tc>
      </w:tr>
      <w:tr w:rsidR="006C747D" w:rsidRPr="004F05E7" w14:paraId="5B243D8D" w14:textId="77777777" w:rsidTr="00AD2902">
        <w:trPr>
          <w:trHeight w:val="340"/>
        </w:trPr>
        <w:tc>
          <w:tcPr>
            <w:tcW w:w="9910" w:type="dxa"/>
            <w:tcBorders>
              <w:top w:val="nil"/>
              <w:left w:val="nil"/>
              <w:bottom w:val="nil"/>
              <w:right w:val="nil"/>
            </w:tcBorders>
            <w:shd w:val="clear" w:color="auto" w:fill="auto"/>
            <w:vAlign w:val="center"/>
          </w:tcPr>
          <w:p w14:paraId="50AB6A92" w14:textId="22FBC609" w:rsidR="006C747D" w:rsidRPr="004F05E7" w:rsidRDefault="008457AC" w:rsidP="00521401">
            <w:pPr>
              <w:spacing w:after="0" w:line="276" w:lineRule="auto"/>
              <w:ind w:left="179"/>
            </w:pPr>
            <w:r w:rsidRPr="004F05E7">
              <w:t>(667) 713 81 72</w:t>
            </w:r>
          </w:p>
        </w:tc>
      </w:tr>
    </w:tbl>
    <w:p w14:paraId="185A3440" w14:textId="77777777" w:rsidR="000D2A1A" w:rsidRPr="004F05E7" w:rsidRDefault="000D2A1A" w:rsidP="00F638EF">
      <w:pPr>
        <w:spacing w:after="0"/>
        <w:rPr>
          <w:lang w:val="es-ES"/>
        </w:rPr>
      </w:pPr>
    </w:p>
    <w:p w14:paraId="5BC36598" w14:textId="77777777" w:rsidR="000C18FD" w:rsidRPr="004F05E7" w:rsidRDefault="000C18FD">
      <w:r w:rsidRPr="004F05E7">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rsidRPr="004F05E7" w14:paraId="449405D2" w14:textId="77777777" w:rsidTr="00090637">
        <w:trPr>
          <w:trHeight w:val="340"/>
        </w:trPr>
        <w:tc>
          <w:tcPr>
            <w:tcW w:w="9910" w:type="dxa"/>
            <w:gridSpan w:val="4"/>
            <w:shd w:val="clear" w:color="auto" w:fill="651D32"/>
            <w:vAlign w:val="center"/>
          </w:tcPr>
          <w:p w14:paraId="57932F8D" w14:textId="1DF85AE3" w:rsidR="007C4CD6" w:rsidRPr="004F05E7" w:rsidRDefault="007C4CD6" w:rsidP="006F4B1F">
            <w:pPr>
              <w:pStyle w:val="Prrafodelista"/>
              <w:numPr>
                <w:ilvl w:val="0"/>
                <w:numId w:val="4"/>
              </w:numPr>
              <w:spacing w:after="0" w:line="276" w:lineRule="auto"/>
            </w:pPr>
            <w:r w:rsidRPr="004F05E7">
              <w:rPr>
                <w:rFonts w:eastAsia="Times New Roman"/>
                <w:b/>
                <w:color w:val="FFFFFF"/>
                <w:lang w:eastAsia="es-MX"/>
              </w:rPr>
              <w:lastRenderedPageBreak/>
              <w:t>Identificación del (os) Programa(s)</w:t>
            </w:r>
          </w:p>
        </w:tc>
      </w:tr>
      <w:tr w:rsidR="007C4CD6" w:rsidRPr="004F05E7"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4F05E7" w:rsidRDefault="007C4CD6" w:rsidP="00AD2902">
            <w:pPr>
              <w:pStyle w:val="Prrafodelista"/>
              <w:numPr>
                <w:ilvl w:val="1"/>
                <w:numId w:val="13"/>
              </w:numPr>
              <w:spacing w:after="0" w:line="276" w:lineRule="auto"/>
              <w:ind w:left="604"/>
              <w:rPr>
                <w:b/>
                <w:bCs/>
              </w:rPr>
            </w:pPr>
            <w:r w:rsidRPr="004F05E7">
              <w:rPr>
                <w:rFonts w:eastAsia="Times New Roman"/>
                <w:b/>
                <w:color w:val="000000"/>
                <w:lang w:eastAsia="es-MX"/>
              </w:rPr>
              <w:t>Nombre del (os) Programa(s) Evaluado(s):</w:t>
            </w:r>
          </w:p>
        </w:tc>
      </w:tr>
      <w:tr w:rsidR="007C4CD6" w:rsidRPr="004F05E7" w14:paraId="1FC28F0B" w14:textId="77777777" w:rsidTr="00AD2902">
        <w:trPr>
          <w:trHeight w:val="340"/>
        </w:trPr>
        <w:tc>
          <w:tcPr>
            <w:tcW w:w="9910" w:type="dxa"/>
            <w:gridSpan w:val="4"/>
            <w:shd w:val="clear" w:color="auto" w:fill="auto"/>
            <w:vAlign w:val="center"/>
          </w:tcPr>
          <w:p w14:paraId="44738BAF" w14:textId="6B6EB9DB" w:rsidR="007C4CD6" w:rsidRPr="004F05E7" w:rsidRDefault="000438D4" w:rsidP="00AD2902">
            <w:pPr>
              <w:spacing w:after="0" w:line="276" w:lineRule="auto"/>
              <w:ind w:left="179"/>
            </w:pPr>
            <w:r w:rsidRPr="004F05E7">
              <w:t>Fondo de Aportaciones para los Servicios de Salud</w:t>
            </w:r>
          </w:p>
        </w:tc>
      </w:tr>
      <w:tr w:rsidR="007C4CD6" w:rsidRPr="004F05E7" w14:paraId="58672705" w14:textId="77777777" w:rsidTr="003F6695">
        <w:trPr>
          <w:trHeight w:val="340"/>
        </w:trPr>
        <w:tc>
          <w:tcPr>
            <w:tcW w:w="9910" w:type="dxa"/>
            <w:gridSpan w:val="4"/>
            <w:shd w:val="clear" w:color="auto" w:fill="F2F2F2" w:themeFill="background1" w:themeFillShade="F2"/>
            <w:vAlign w:val="center"/>
          </w:tcPr>
          <w:p w14:paraId="05F66401" w14:textId="77777777" w:rsidR="007C4CD6" w:rsidRPr="004F05E7" w:rsidRDefault="007C4CD6" w:rsidP="00AD2902">
            <w:pPr>
              <w:pStyle w:val="Prrafodelista"/>
              <w:numPr>
                <w:ilvl w:val="1"/>
                <w:numId w:val="13"/>
              </w:numPr>
              <w:spacing w:after="0" w:line="276" w:lineRule="auto"/>
              <w:ind w:left="604"/>
              <w:rPr>
                <w:rFonts w:eastAsia="Times New Roman"/>
                <w:b/>
                <w:color w:val="000000"/>
                <w:lang w:eastAsia="es-MX"/>
              </w:rPr>
            </w:pPr>
            <w:r w:rsidRPr="004F05E7">
              <w:rPr>
                <w:rFonts w:eastAsia="Times New Roman"/>
                <w:b/>
                <w:color w:val="000000"/>
                <w:lang w:eastAsia="es-MX"/>
              </w:rPr>
              <w:t xml:space="preserve">Siglas: </w:t>
            </w:r>
          </w:p>
        </w:tc>
      </w:tr>
      <w:tr w:rsidR="007C4CD6" w:rsidRPr="004F05E7" w14:paraId="1F10A1A2" w14:textId="77777777" w:rsidTr="00AD2902">
        <w:trPr>
          <w:trHeight w:val="340"/>
        </w:trPr>
        <w:tc>
          <w:tcPr>
            <w:tcW w:w="9910" w:type="dxa"/>
            <w:gridSpan w:val="4"/>
            <w:shd w:val="clear" w:color="auto" w:fill="auto"/>
            <w:vAlign w:val="center"/>
          </w:tcPr>
          <w:p w14:paraId="0850CE8D" w14:textId="0681D86F" w:rsidR="007C4CD6" w:rsidRPr="004F05E7" w:rsidRDefault="000438D4" w:rsidP="00AD2902">
            <w:pPr>
              <w:spacing w:after="0" w:line="276" w:lineRule="auto"/>
              <w:ind w:left="179"/>
            </w:pPr>
            <w:r w:rsidRPr="004F05E7">
              <w:t>FASSA</w:t>
            </w:r>
          </w:p>
        </w:tc>
      </w:tr>
      <w:tr w:rsidR="007C4CD6" w:rsidRPr="004F05E7" w14:paraId="4335ADA6" w14:textId="77777777" w:rsidTr="003F6695">
        <w:trPr>
          <w:trHeight w:val="340"/>
        </w:trPr>
        <w:tc>
          <w:tcPr>
            <w:tcW w:w="9910" w:type="dxa"/>
            <w:gridSpan w:val="4"/>
            <w:shd w:val="clear" w:color="auto" w:fill="F2F2F2" w:themeFill="background1" w:themeFillShade="F2"/>
            <w:vAlign w:val="center"/>
          </w:tcPr>
          <w:p w14:paraId="5C159659" w14:textId="77777777" w:rsidR="007C4CD6" w:rsidRPr="004F05E7" w:rsidRDefault="007C4CD6" w:rsidP="00AD2902">
            <w:pPr>
              <w:pStyle w:val="Prrafodelista"/>
              <w:numPr>
                <w:ilvl w:val="1"/>
                <w:numId w:val="13"/>
              </w:numPr>
              <w:spacing w:after="0" w:line="276" w:lineRule="auto"/>
              <w:ind w:left="604"/>
              <w:rPr>
                <w:rFonts w:eastAsia="Times New Roman"/>
                <w:b/>
                <w:color w:val="000000"/>
                <w:lang w:eastAsia="es-MX"/>
              </w:rPr>
            </w:pPr>
            <w:r w:rsidRPr="004F05E7">
              <w:rPr>
                <w:rFonts w:eastAsia="Times New Roman"/>
                <w:b/>
                <w:color w:val="000000"/>
                <w:lang w:eastAsia="es-MX"/>
              </w:rPr>
              <w:t>Ente Público Coordinador del (os) Programa(s):</w:t>
            </w:r>
          </w:p>
        </w:tc>
      </w:tr>
      <w:tr w:rsidR="007C4CD6" w:rsidRPr="004F05E7" w14:paraId="0777E431" w14:textId="77777777" w:rsidTr="00AD2902">
        <w:trPr>
          <w:trHeight w:val="340"/>
        </w:trPr>
        <w:tc>
          <w:tcPr>
            <w:tcW w:w="9910" w:type="dxa"/>
            <w:gridSpan w:val="4"/>
            <w:shd w:val="clear" w:color="auto" w:fill="auto"/>
            <w:vAlign w:val="center"/>
          </w:tcPr>
          <w:p w14:paraId="7D53808F" w14:textId="0E948260" w:rsidR="007C4CD6" w:rsidRPr="004F05E7" w:rsidRDefault="000438D4" w:rsidP="00AD2902">
            <w:pPr>
              <w:spacing w:after="0" w:line="276" w:lineRule="auto"/>
              <w:ind w:left="179"/>
            </w:pPr>
            <w:r w:rsidRPr="004F05E7">
              <w:t xml:space="preserve">Servicios </w:t>
            </w:r>
            <w:r w:rsidR="00091973" w:rsidRPr="004F05E7">
              <w:t>de Salud de Sinaloa</w:t>
            </w:r>
          </w:p>
        </w:tc>
      </w:tr>
      <w:tr w:rsidR="007C4CD6" w:rsidRPr="004F05E7" w14:paraId="655B10C7" w14:textId="77777777" w:rsidTr="003F6695">
        <w:trPr>
          <w:trHeight w:val="340"/>
        </w:trPr>
        <w:tc>
          <w:tcPr>
            <w:tcW w:w="9910" w:type="dxa"/>
            <w:gridSpan w:val="4"/>
            <w:shd w:val="clear" w:color="auto" w:fill="F2F2F2" w:themeFill="background1" w:themeFillShade="F2"/>
            <w:vAlign w:val="center"/>
          </w:tcPr>
          <w:p w14:paraId="1D79D131" w14:textId="77777777" w:rsidR="007C4CD6" w:rsidRPr="004F05E7" w:rsidRDefault="007C4CD6" w:rsidP="00AD2902">
            <w:pPr>
              <w:pStyle w:val="Prrafodelista"/>
              <w:numPr>
                <w:ilvl w:val="1"/>
                <w:numId w:val="13"/>
              </w:numPr>
              <w:spacing w:after="0" w:line="276" w:lineRule="auto"/>
              <w:ind w:left="604"/>
              <w:rPr>
                <w:rFonts w:eastAsia="Times New Roman"/>
                <w:b/>
                <w:color w:val="000000"/>
                <w:lang w:eastAsia="es-MX"/>
              </w:rPr>
            </w:pPr>
            <w:r w:rsidRPr="004F05E7">
              <w:rPr>
                <w:rFonts w:eastAsia="Times New Roman"/>
                <w:b/>
                <w:color w:val="000000"/>
                <w:lang w:eastAsia="es-MX"/>
              </w:rPr>
              <w:t>Poder Público al que Pertenece(n) el(los) Programa(s):</w:t>
            </w:r>
          </w:p>
        </w:tc>
      </w:tr>
      <w:tr w:rsidR="005A28B9" w:rsidRPr="004F05E7" w14:paraId="42C96924" w14:textId="77777777" w:rsidTr="003F6695">
        <w:trPr>
          <w:trHeight w:val="340"/>
        </w:trPr>
        <w:tc>
          <w:tcPr>
            <w:tcW w:w="2405" w:type="dxa"/>
            <w:shd w:val="clear" w:color="auto" w:fill="F2F2F2" w:themeFill="background1" w:themeFillShade="F2"/>
            <w:vAlign w:val="center"/>
          </w:tcPr>
          <w:p w14:paraId="719F832C" w14:textId="77777777" w:rsidR="005A28B9" w:rsidRPr="004F05E7" w:rsidRDefault="005A28B9" w:rsidP="00AD2902">
            <w:pPr>
              <w:spacing w:after="0" w:line="276" w:lineRule="auto"/>
              <w:jc w:val="center"/>
              <w:rPr>
                <w:b/>
                <w:bCs/>
              </w:rPr>
            </w:pPr>
            <w:r w:rsidRPr="004F05E7">
              <w:rPr>
                <w:b/>
                <w:bCs/>
              </w:rPr>
              <w:t>Poder Ejecutivo:</w:t>
            </w:r>
          </w:p>
        </w:tc>
        <w:tc>
          <w:tcPr>
            <w:tcW w:w="2410" w:type="dxa"/>
            <w:shd w:val="clear" w:color="auto" w:fill="F2F2F2" w:themeFill="background1" w:themeFillShade="F2"/>
            <w:vAlign w:val="center"/>
          </w:tcPr>
          <w:p w14:paraId="0F7829DF" w14:textId="77777777" w:rsidR="005A28B9" w:rsidRPr="004F05E7" w:rsidRDefault="005A28B9" w:rsidP="00AD2902">
            <w:pPr>
              <w:spacing w:after="0" w:line="276" w:lineRule="auto"/>
              <w:jc w:val="center"/>
              <w:rPr>
                <w:b/>
                <w:bCs/>
              </w:rPr>
            </w:pPr>
            <w:r w:rsidRPr="004F05E7">
              <w:rPr>
                <w:b/>
                <w:bCs/>
              </w:rPr>
              <w:t>Poder Legislativo:</w:t>
            </w:r>
          </w:p>
        </w:tc>
        <w:tc>
          <w:tcPr>
            <w:tcW w:w="2551" w:type="dxa"/>
            <w:shd w:val="clear" w:color="auto" w:fill="F2F2F2" w:themeFill="background1" w:themeFillShade="F2"/>
            <w:vAlign w:val="center"/>
          </w:tcPr>
          <w:p w14:paraId="0FEAFF4B" w14:textId="77777777" w:rsidR="005A28B9" w:rsidRPr="004F05E7" w:rsidRDefault="005A28B9" w:rsidP="00AD2902">
            <w:pPr>
              <w:spacing w:after="0" w:line="276" w:lineRule="auto"/>
              <w:jc w:val="center"/>
              <w:rPr>
                <w:b/>
                <w:bCs/>
              </w:rPr>
            </w:pPr>
            <w:r w:rsidRPr="004F05E7">
              <w:rPr>
                <w:b/>
                <w:bCs/>
              </w:rPr>
              <w:t>Poder Judicial:</w:t>
            </w:r>
          </w:p>
        </w:tc>
        <w:tc>
          <w:tcPr>
            <w:tcW w:w="2544" w:type="dxa"/>
            <w:shd w:val="clear" w:color="auto" w:fill="F2F2F2" w:themeFill="background1" w:themeFillShade="F2"/>
            <w:vAlign w:val="center"/>
          </w:tcPr>
          <w:p w14:paraId="4550AB53" w14:textId="77777777" w:rsidR="005A28B9" w:rsidRPr="004F05E7" w:rsidRDefault="005A28B9" w:rsidP="00AD2902">
            <w:pPr>
              <w:spacing w:after="0" w:line="276" w:lineRule="auto"/>
              <w:jc w:val="center"/>
              <w:rPr>
                <w:b/>
                <w:bCs/>
              </w:rPr>
            </w:pPr>
            <w:r w:rsidRPr="004F05E7">
              <w:rPr>
                <w:b/>
                <w:bCs/>
              </w:rPr>
              <w:t>Ente Autónomo:</w:t>
            </w:r>
          </w:p>
        </w:tc>
      </w:tr>
      <w:tr w:rsidR="005A28B9" w:rsidRPr="004F05E7" w14:paraId="065D360B" w14:textId="77777777" w:rsidTr="00AD2902">
        <w:trPr>
          <w:trHeight w:val="340"/>
        </w:trPr>
        <w:tc>
          <w:tcPr>
            <w:tcW w:w="2405" w:type="dxa"/>
            <w:shd w:val="clear" w:color="auto" w:fill="auto"/>
            <w:vAlign w:val="center"/>
          </w:tcPr>
          <w:p w14:paraId="43D369B0" w14:textId="725A63FB" w:rsidR="005A28B9" w:rsidRPr="004F05E7" w:rsidRDefault="00091973" w:rsidP="00AD2902">
            <w:pPr>
              <w:spacing w:after="0" w:line="276" w:lineRule="auto"/>
              <w:jc w:val="center"/>
            </w:pPr>
            <w:r w:rsidRPr="004F05E7">
              <w:t>X</w:t>
            </w:r>
          </w:p>
        </w:tc>
        <w:tc>
          <w:tcPr>
            <w:tcW w:w="2410" w:type="dxa"/>
            <w:shd w:val="clear" w:color="auto" w:fill="auto"/>
            <w:vAlign w:val="center"/>
          </w:tcPr>
          <w:p w14:paraId="208A5616" w14:textId="77777777" w:rsidR="005A28B9" w:rsidRPr="004F05E7" w:rsidRDefault="005A28B9" w:rsidP="00AD2902">
            <w:pPr>
              <w:spacing w:after="0" w:line="276" w:lineRule="auto"/>
              <w:jc w:val="center"/>
            </w:pPr>
          </w:p>
        </w:tc>
        <w:tc>
          <w:tcPr>
            <w:tcW w:w="2551" w:type="dxa"/>
            <w:shd w:val="clear" w:color="auto" w:fill="auto"/>
            <w:vAlign w:val="center"/>
          </w:tcPr>
          <w:p w14:paraId="761558F7" w14:textId="77777777" w:rsidR="005A28B9" w:rsidRPr="004F05E7" w:rsidRDefault="005A28B9" w:rsidP="00AD2902">
            <w:pPr>
              <w:spacing w:after="0" w:line="276" w:lineRule="auto"/>
              <w:jc w:val="center"/>
            </w:pPr>
          </w:p>
        </w:tc>
        <w:tc>
          <w:tcPr>
            <w:tcW w:w="2544" w:type="dxa"/>
            <w:shd w:val="clear" w:color="auto" w:fill="auto"/>
            <w:vAlign w:val="center"/>
          </w:tcPr>
          <w:p w14:paraId="2C02E6CE" w14:textId="77777777" w:rsidR="005A28B9" w:rsidRPr="004F05E7" w:rsidRDefault="005A28B9" w:rsidP="00AD2902">
            <w:pPr>
              <w:spacing w:after="0" w:line="276" w:lineRule="auto"/>
              <w:jc w:val="center"/>
            </w:pPr>
          </w:p>
        </w:tc>
      </w:tr>
    </w:tbl>
    <w:p w14:paraId="40EF093B" w14:textId="77777777" w:rsidR="005A28B9" w:rsidRPr="004F05E7" w:rsidRDefault="005A28B9" w:rsidP="00AD2902">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4F05E7"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4F05E7" w:rsidRDefault="007C4CD6" w:rsidP="00AD2902">
            <w:pPr>
              <w:pStyle w:val="Prrafodelista"/>
              <w:numPr>
                <w:ilvl w:val="1"/>
                <w:numId w:val="13"/>
              </w:numPr>
              <w:spacing w:after="0" w:line="276" w:lineRule="auto"/>
              <w:ind w:left="604"/>
              <w:rPr>
                <w:rFonts w:eastAsia="Times New Roman"/>
                <w:b/>
                <w:color w:val="000000"/>
                <w:lang w:eastAsia="es-MX"/>
              </w:rPr>
            </w:pPr>
            <w:r w:rsidRPr="004F05E7">
              <w:rPr>
                <w:rFonts w:eastAsia="Times New Roman"/>
                <w:b/>
                <w:color w:val="000000"/>
                <w:lang w:eastAsia="es-MX"/>
              </w:rPr>
              <w:t>Ámbito Gubernamental al que Pertenece(n) el(los) Programas):</w:t>
            </w:r>
          </w:p>
        </w:tc>
      </w:tr>
      <w:tr w:rsidR="005A28B9" w:rsidRPr="004F05E7"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4F05E7" w:rsidRDefault="005A28B9" w:rsidP="00AD2902">
            <w:pPr>
              <w:spacing w:after="0" w:line="276" w:lineRule="auto"/>
              <w:jc w:val="center"/>
              <w:rPr>
                <w:b/>
                <w:bCs/>
              </w:rPr>
            </w:pPr>
            <w:r w:rsidRPr="004F05E7">
              <w:rPr>
                <w:b/>
                <w:bCs/>
              </w:rPr>
              <w:t>Federal:</w:t>
            </w:r>
          </w:p>
        </w:tc>
        <w:tc>
          <w:tcPr>
            <w:tcW w:w="3402" w:type="dxa"/>
            <w:shd w:val="clear" w:color="auto" w:fill="F2F2F2" w:themeFill="background1" w:themeFillShade="F2"/>
            <w:vAlign w:val="center"/>
          </w:tcPr>
          <w:p w14:paraId="6F8569EF" w14:textId="77777777" w:rsidR="005A28B9" w:rsidRPr="004F05E7" w:rsidRDefault="005A28B9" w:rsidP="00AD2902">
            <w:pPr>
              <w:spacing w:after="0" w:line="276" w:lineRule="auto"/>
              <w:jc w:val="center"/>
              <w:rPr>
                <w:b/>
                <w:bCs/>
              </w:rPr>
            </w:pPr>
            <w:r w:rsidRPr="004F05E7">
              <w:rPr>
                <w:b/>
                <w:bCs/>
              </w:rPr>
              <w:t>Estatal:</w:t>
            </w:r>
          </w:p>
        </w:tc>
        <w:tc>
          <w:tcPr>
            <w:tcW w:w="3252" w:type="dxa"/>
            <w:shd w:val="clear" w:color="auto" w:fill="F2F2F2" w:themeFill="background1" w:themeFillShade="F2"/>
            <w:vAlign w:val="center"/>
          </w:tcPr>
          <w:p w14:paraId="6C3DDCD9" w14:textId="77777777" w:rsidR="005A28B9" w:rsidRPr="004F05E7" w:rsidRDefault="005A28B9" w:rsidP="00AD2902">
            <w:pPr>
              <w:spacing w:after="0" w:line="276" w:lineRule="auto"/>
              <w:jc w:val="center"/>
              <w:rPr>
                <w:b/>
                <w:bCs/>
              </w:rPr>
            </w:pPr>
            <w:r w:rsidRPr="004F05E7">
              <w:rPr>
                <w:b/>
                <w:bCs/>
              </w:rPr>
              <w:t>Local:</w:t>
            </w:r>
          </w:p>
        </w:tc>
      </w:tr>
      <w:tr w:rsidR="00090637" w:rsidRPr="004F05E7" w14:paraId="16DD347F" w14:textId="77777777" w:rsidTr="00AD2902">
        <w:trPr>
          <w:trHeight w:val="340"/>
        </w:trPr>
        <w:tc>
          <w:tcPr>
            <w:tcW w:w="3256" w:type="dxa"/>
            <w:shd w:val="clear" w:color="auto" w:fill="auto"/>
            <w:vAlign w:val="center"/>
          </w:tcPr>
          <w:p w14:paraId="06EEC80E" w14:textId="10BA7C7D" w:rsidR="00090637" w:rsidRPr="004F05E7" w:rsidRDefault="00091973" w:rsidP="00AD2902">
            <w:pPr>
              <w:spacing w:after="0" w:line="276" w:lineRule="auto"/>
              <w:jc w:val="center"/>
              <w:rPr>
                <w:bCs/>
              </w:rPr>
            </w:pPr>
            <w:r w:rsidRPr="004F05E7">
              <w:rPr>
                <w:bCs/>
              </w:rPr>
              <w:t>X</w:t>
            </w:r>
          </w:p>
        </w:tc>
        <w:tc>
          <w:tcPr>
            <w:tcW w:w="3402" w:type="dxa"/>
            <w:shd w:val="clear" w:color="auto" w:fill="auto"/>
            <w:vAlign w:val="center"/>
          </w:tcPr>
          <w:p w14:paraId="117D875F" w14:textId="1D9F87D9" w:rsidR="00090637" w:rsidRPr="004F05E7" w:rsidRDefault="00090637" w:rsidP="00AD2902">
            <w:pPr>
              <w:spacing w:after="0" w:line="276" w:lineRule="auto"/>
              <w:jc w:val="center"/>
            </w:pPr>
          </w:p>
        </w:tc>
        <w:tc>
          <w:tcPr>
            <w:tcW w:w="3252" w:type="dxa"/>
            <w:shd w:val="clear" w:color="auto" w:fill="auto"/>
            <w:vAlign w:val="center"/>
          </w:tcPr>
          <w:p w14:paraId="17BF0987" w14:textId="77777777" w:rsidR="00090637" w:rsidRPr="004F05E7" w:rsidRDefault="00090637" w:rsidP="00AD2902">
            <w:pPr>
              <w:spacing w:after="0" w:line="276" w:lineRule="auto"/>
              <w:jc w:val="center"/>
              <w:rPr>
                <w:b/>
                <w:bCs/>
              </w:rPr>
            </w:pPr>
          </w:p>
        </w:tc>
      </w:tr>
      <w:tr w:rsidR="007C4CD6" w:rsidRPr="004F05E7" w14:paraId="3B5991E1" w14:textId="77777777" w:rsidTr="003F6695">
        <w:trPr>
          <w:trHeight w:val="706"/>
        </w:trPr>
        <w:tc>
          <w:tcPr>
            <w:tcW w:w="9910" w:type="dxa"/>
            <w:gridSpan w:val="3"/>
            <w:shd w:val="clear" w:color="auto" w:fill="F2F2F2" w:themeFill="background1" w:themeFillShade="F2"/>
            <w:vAlign w:val="center"/>
          </w:tcPr>
          <w:p w14:paraId="3F33A54F" w14:textId="77777777" w:rsidR="007C4CD6" w:rsidRPr="004F05E7" w:rsidRDefault="00133709" w:rsidP="00AD2902">
            <w:pPr>
              <w:pStyle w:val="Prrafodelista"/>
              <w:numPr>
                <w:ilvl w:val="1"/>
                <w:numId w:val="13"/>
              </w:numPr>
              <w:spacing w:after="0" w:line="276" w:lineRule="auto"/>
              <w:ind w:left="604"/>
              <w:rPr>
                <w:rFonts w:eastAsia="Times New Roman"/>
                <w:b/>
                <w:color w:val="000000"/>
                <w:lang w:eastAsia="es-MX"/>
              </w:rPr>
            </w:pPr>
            <w:r w:rsidRPr="004F05E7">
              <w:rPr>
                <w:rFonts w:eastAsia="Times New Roman"/>
                <w:b/>
                <w:color w:val="000000"/>
                <w:lang w:eastAsia="es-MX"/>
              </w:rPr>
              <w:t>Datos</w:t>
            </w:r>
            <w:r w:rsidR="00925C75" w:rsidRPr="004F05E7">
              <w:rPr>
                <w:rFonts w:eastAsia="Times New Roman"/>
                <w:b/>
                <w:color w:val="000000"/>
                <w:lang w:eastAsia="es-MX"/>
              </w:rPr>
              <w:t xml:space="preserve"> de (los) Titular (es) de la(s) Unidad(es) Administrativa(s) a Cargo de (los) Programa(s) (nombre completo, correo electrónico, unidad administrativa y teléfono con clave lada):</w:t>
            </w:r>
          </w:p>
        </w:tc>
      </w:tr>
      <w:tr w:rsidR="008C11F4" w:rsidRPr="004F05E7" w14:paraId="4BF0D114" w14:textId="77777777" w:rsidTr="003F6695">
        <w:trPr>
          <w:trHeight w:val="340"/>
        </w:trPr>
        <w:tc>
          <w:tcPr>
            <w:tcW w:w="9910" w:type="dxa"/>
            <w:gridSpan w:val="3"/>
            <w:shd w:val="clear" w:color="auto" w:fill="F2F2F2" w:themeFill="background1" w:themeFillShade="F2"/>
            <w:vAlign w:val="center"/>
          </w:tcPr>
          <w:p w14:paraId="763E37D5" w14:textId="77777777" w:rsidR="008C11F4" w:rsidRPr="004F05E7" w:rsidRDefault="008C11F4" w:rsidP="00AD2902">
            <w:pPr>
              <w:pStyle w:val="Prrafodelista"/>
              <w:numPr>
                <w:ilvl w:val="2"/>
                <w:numId w:val="14"/>
              </w:numPr>
              <w:spacing w:after="0" w:line="276" w:lineRule="auto"/>
              <w:ind w:left="981" w:hanging="624"/>
              <w:rPr>
                <w:rFonts w:eastAsia="Times New Roman"/>
                <w:b/>
                <w:color w:val="000000"/>
                <w:lang w:eastAsia="es-MX"/>
              </w:rPr>
            </w:pPr>
            <w:r w:rsidRPr="004F05E7">
              <w:rPr>
                <w:rFonts w:eastAsia="Times New Roman"/>
                <w:b/>
                <w:color w:val="000000"/>
                <w:lang w:eastAsia="es-MX"/>
              </w:rPr>
              <w:t xml:space="preserve">Nombre </w:t>
            </w:r>
            <w:r w:rsidR="00925C75" w:rsidRPr="004F05E7">
              <w:rPr>
                <w:rFonts w:eastAsia="Times New Roman"/>
                <w:b/>
                <w:color w:val="000000"/>
                <w:lang w:eastAsia="es-MX"/>
              </w:rPr>
              <w:t>completo:</w:t>
            </w:r>
          </w:p>
        </w:tc>
      </w:tr>
      <w:tr w:rsidR="005065B9" w:rsidRPr="004F05E7" w14:paraId="216FE23E" w14:textId="77777777" w:rsidTr="00AD2902">
        <w:trPr>
          <w:trHeight w:val="340"/>
        </w:trPr>
        <w:tc>
          <w:tcPr>
            <w:tcW w:w="9910" w:type="dxa"/>
            <w:gridSpan w:val="3"/>
            <w:shd w:val="clear" w:color="auto" w:fill="auto"/>
          </w:tcPr>
          <w:p w14:paraId="7091B8EA" w14:textId="087AC457" w:rsidR="005065B9" w:rsidRPr="004F05E7" w:rsidRDefault="000A1553" w:rsidP="00AD2902">
            <w:pPr>
              <w:spacing w:after="0" w:line="276" w:lineRule="auto"/>
              <w:ind w:left="179"/>
            </w:pPr>
            <w:r w:rsidRPr="004F05E7">
              <w:t>LAE. Eduardo Aguirre Medina</w:t>
            </w:r>
          </w:p>
        </w:tc>
      </w:tr>
      <w:tr w:rsidR="00925C75" w:rsidRPr="004F05E7" w14:paraId="339ACE2F" w14:textId="77777777" w:rsidTr="003F6695">
        <w:trPr>
          <w:trHeight w:val="340"/>
        </w:trPr>
        <w:tc>
          <w:tcPr>
            <w:tcW w:w="9910" w:type="dxa"/>
            <w:gridSpan w:val="3"/>
            <w:shd w:val="clear" w:color="auto" w:fill="F2F2F2" w:themeFill="background1" w:themeFillShade="F2"/>
            <w:vAlign w:val="center"/>
          </w:tcPr>
          <w:p w14:paraId="5C473A77" w14:textId="77777777" w:rsidR="00925C75" w:rsidRPr="004F05E7" w:rsidRDefault="00925C75" w:rsidP="00AD2902">
            <w:pPr>
              <w:pStyle w:val="Prrafodelista"/>
              <w:numPr>
                <w:ilvl w:val="2"/>
                <w:numId w:val="14"/>
              </w:numPr>
              <w:spacing w:after="0" w:line="276" w:lineRule="auto"/>
              <w:ind w:left="981" w:hanging="624"/>
              <w:rPr>
                <w:rFonts w:eastAsia="Times New Roman"/>
                <w:b/>
                <w:color w:val="000000"/>
                <w:lang w:eastAsia="es-MX"/>
              </w:rPr>
            </w:pPr>
            <w:r w:rsidRPr="004F05E7">
              <w:rPr>
                <w:rFonts w:eastAsia="Times New Roman"/>
                <w:b/>
                <w:color w:val="000000"/>
                <w:lang w:eastAsia="es-MX"/>
              </w:rPr>
              <w:t>Correo Electrónico:</w:t>
            </w:r>
          </w:p>
        </w:tc>
      </w:tr>
      <w:tr w:rsidR="005065B9" w:rsidRPr="004F05E7" w14:paraId="6370D0DF" w14:textId="77777777" w:rsidTr="00AD2902">
        <w:trPr>
          <w:trHeight w:val="340"/>
        </w:trPr>
        <w:tc>
          <w:tcPr>
            <w:tcW w:w="9910" w:type="dxa"/>
            <w:gridSpan w:val="3"/>
            <w:shd w:val="clear" w:color="auto" w:fill="auto"/>
          </w:tcPr>
          <w:p w14:paraId="54E4AA94" w14:textId="3696D152" w:rsidR="005065B9" w:rsidRPr="004F05E7" w:rsidRDefault="00BC28C4" w:rsidP="00AD2902">
            <w:pPr>
              <w:spacing w:after="0" w:line="276" w:lineRule="auto"/>
              <w:ind w:left="179"/>
            </w:pPr>
            <w:hyperlink r:id="rId13" w:history="1">
              <w:r w:rsidR="000A1553" w:rsidRPr="004F05E7">
                <w:rPr>
                  <w:rStyle w:val="Hipervnculo"/>
                </w:rPr>
                <w:t>eduardo.aguirre@saludsinaloa.gob.mx</w:t>
              </w:r>
            </w:hyperlink>
            <w:r w:rsidR="000A1553" w:rsidRPr="004F05E7">
              <w:t xml:space="preserve"> </w:t>
            </w:r>
          </w:p>
        </w:tc>
      </w:tr>
      <w:tr w:rsidR="00A753A2" w:rsidRPr="004F05E7" w14:paraId="688D65F7" w14:textId="77777777" w:rsidTr="003F6695">
        <w:trPr>
          <w:trHeight w:val="340"/>
        </w:trPr>
        <w:tc>
          <w:tcPr>
            <w:tcW w:w="9910" w:type="dxa"/>
            <w:gridSpan w:val="3"/>
            <w:shd w:val="clear" w:color="auto" w:fill="F2F2F2" w:themeFill="background1" w:themeFillShade="F2"/>
            <w:vAlign w:val="center"/>
          </w:tcPr>
          <w:p w14:paraId="7A09E46F" w14:textId="77777777" w:rsidR="00A753A2" w:rsidRPr="004F05E7" w:rsidRDefault="00A753A2" w:rsidP="00AD2902">
            <w:pPr>
              <w:pStyle w:val="Prrafodelista"/>
              <w:numPr>
                <w:ilvl w:val="2"/>
                <w:numId w:val="14"/>
              </w:numPr>
              <w:spacing w:after="0" w:line="276" w:lineRule="auto"/>
              <w:ind w:left="981" w:hanging="624"/>
              <w:rPr>
                <w:rFonts w:eastAsia="Times New Roman"/>
                <w:b/>
                <w:color w:val="000000"/>
                <w:lang w:eastAsia="es-MX"/>
              </w:rPr>
            </w:pPr>
            <w:r w:rsidRPr="004F05E7">
              <w:rPr>
                <w:rFonts w:eastAsia="Times New Roman"/>
                <w:b/>
                <w:color w:val="000000"/>
                <w:lang w:eastAsia="es-MX"/>
              </w:rPr>
              <w:t>Unidad Administrativa:</w:t>
            </w:r>
          </w:p>
        </w:tc>
      </w:tr>
      <w:tr w:rsidR="005065B9" w:rsidRPr="004F05E7" w14:paraId="3C5D9DC6" w14:textId="77777777" w:rsidTr="00AD2902">
        <w:trPr>
          <w:trHeight w:val="340"/>
        </w:trPr>
        <w:tc>
          <w:tcPr>
            <w:tcW w:w="9910" w:type="dxa"/>
            <w:gridSpan w:val="3"/>
            <w:shd w:val="clear" w:color="auto" w:fill="auto"/>
          </w:tcPr>
          <w:p w14:paraId="138DA773" w14:textId="3DDEBF8F" w:rsidR="005065B9" w:rsidRPr="004F05E7" w:rsidRDefault="008457AC" w:rsidP="00AD2902">
            <w:pPr>
              <w:spacing w:after="0" w:line="276" w:lineRule="auto"/>
              <w:ind w:left="179"/>
            </w:pPr>
            <w:r w:rsidRPr="004F05E7">
              <w:t>Servicios de Salud de Sinaloa</w:t>
            </w:r>
          </w:p>
        </w:tc>
      </w:tr>
      <w:tr w:rsidR="00A753A2" w:rsidRPr="004F05E7" w14:paraId="70A117C4" w14:textId="77777777" w:rsidTr="003F6695">
        <w:trPr>
          <w:trHeight w:val="340"/>
        </w:trPr>
        <w:tc>
          <w:tcPr>
            <w:tcW w:w="9910" w:type="dxa"/>
            <w:gridSpan w:val="3"/>
            <w:shd w:val="clear" w:color="auto" w:fill="F2F2F2" w:themeFill="background1" w:themeFillShade="F2"/>
            <w:vAlign w:val="center"/>
          </w:tcPr>
          <w:p w14:paraId="6E7A9B34" w14:textId="77777777" w:rsidR="00A753A2" w:rsidRPr="004F05E7" w:rsidRDefault="00A753A2" w:rsidP="00AD2902">
            <w:pPr>
              <w:pStyle w:val="Prrafodelista"/>
              <w:numPr>
                <w:ilvl w:val="2"/>
                <w:numId w:val="14"/>
              </w:numPr>
              <w:spacing w:after="0" w:line="276" w:lineRule="auto"/>
              <w:ind w:left="981" w:hanging="624"/>
              <w:rPr>
                <w:rFonts w:eastAsia="Times New Roman"/>
                <w:b/>
                <w:color w:val="000000"/>
                <w:lang w:eastAsia="es-MX"/>
              </w:rPr>
            </w:pPr>
            <w:r w:rsidRPr="004F05E7">
              <w:rPr>
                <w:rFonts w:eastAsia="Times New Roman"/>
                <w:b/>
                <w:color w:val="000000"/>
                <w:lang w:eastAsia="es-MX"/>
              </w:rPr>
              <w:t xml:space="preserve">Teléfono con </w:t>
            </w:r>
            <w:r w:rsidR="00287214" w:rsidRPr="004F05E7">
              <w:rPr>
                <w:rFonts w:eastAsia="Times New Roman"/>
                <w:b/>
                <w:color w:val="000000"/>
                <w:lang w:eastAsia="es-MX"/>
              </w:rPr>
              <w:t xml:space="preserve">clave </w:t>
            </w:r>
            <w:r w:rsidRPr="004F05E7">
              <w:rPr>
                <w:rFonts w:eastAsia="Times New Roman"/>
                <w:b/>
                <w:color w:val="000000"/>
                <w:lang w:eastAsia="es-MX"/>
              </w:rPr>
              <w:t>lada:</w:t>
            </w:r>
          </w:p>
        </w:tc>
      </w:tr>
      <w:tr w:rsidR="005065B9" w:rsidRPr="004F05E7" w14:paraId="49F6EF2F" w14:textId="77777777" w:rsidTr="00AD2902">
        <w:trPr>
          <w:trHeight w:val="340"/>
        </w:trPr>
        <w:tc>
          <w:tcPr>
            <w:tcW w:w="9910" w:type="dxa"/>
            <w:gridSpan w:val="3"/>
            <w:shd w:val="clear" w:color="auto" w:fill="auto"/>
          </w:tcPr>
          <w:p w14:paraId="6F19C066" w14:textId="15610BF6" w:rsidR="005065B9" w:rsidRPr="004F05E7" w:rsidRDefault="003A41E4" w:rsidP="00AD2902">
            <w:pPr>
              <w:spacing w:after="0" w:line="276" w:lineRule="auto"/>
              <w:ind w:left="179"/>
            </w:pPr>
            <w:r w:rsidRPr="004F05E7">
              <w:t xml:space="preserve"> (667) 261 22 00 </w:t>
            </w:r>
          </w:p>
        </w:tc>
      </w:tr>
    </w:tbl>
    <w:p w14:paraId="222ABE39" w14:textId="77777777" w:rsidR="00090637" w:rsidRPr="004F05E7" w:rsidRDefault="00090637" w:rsidP="00AD2902">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rsidRPr="004F05E7" w14:paraId="732B5D37" w14:textId="77777777" w:rsidTr="00C61D21">
        <w:trPr>
          <w:trHeight w:val="340"/>
        </w:trPr>
        <w:tc>
          <w:tcPr>
            <w:tcW w:w="9910" w:type="dxa"/>
            <w:gridSpan w:val="4"/>
            <w:shd w:val="clear" w:color="auto" w:fill="651D32"/>
            <w:vAlign w:val="center"/>
          </w:tcPr>
          <w:p w14:paraId="1529799E" w14:textId="77777777" w:rsidR="00090637" w:rsidRPr="004F05E7" w:rsidRDefault="00090637" w:rsidP="006F4B1F">
            <w:pPr>
              <w:pStyle w:val="Prrafodelista"/>
              <w:numPr>
                <w:ilvl w:val="0"/>
                <w:numId w:val="4"/>
              </w:numPr>
              <w:spacing w:after="0" w:line="276" w:lineRule="auto"/>
            </w:pPr>
            <w:r w:rsidRPr="004F05E7">
              <w:rPr>
                <w:b/>
                <w:bCs/>
                <w:color w:val="FFFFFF" w:themeColor="background1"/>
              </w:rPr>
              <w:t>Datos de la Instancia Evaluadora</w:t>
            </w:r>
          </w:p>
        </w:tc>
      </w:tr>
      <w:tr w:rsidR="00090637" w:rsidRPr="004F05E7"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4F05E7" w:rsidRDefault="007D00B1" w:rsidP="006F4B1F">
            <w:pPr>
              <w:pStyle w:val="Prrafodelista"/>
              <w:numPr>
                <w:ilvl w:val="1"/>
                <w:numId w:val="16"/>
              </w:numPr>
              <w:spacing w:after="0" w:line="276" w:lineRule="auto"/>
              <w:ind w:left="462"/>
              <w:rPr>
                <w:b/>
                <w:bCs/>
              </w:rPr>
            </w:pPr>
            <w:r w:rsidRPr="004F05E7">
              <w:rPr>
                <w:b/>
                <w:bCs/>
              </w:rPr>
              <w:t>Tipo de Contratación:</w:t>
            </w:r>
          </w:p>
        </w:tc>
      </w:tr>
      <w:tr w:rsidR="00A06CEF" w:rsidRPr="004F05E7" w14:paraId="2644F523" w14:textId="77777777" w:rsidTr="003F6695">
        <w:trPr>
          <w:trHeight w:val="340"/>
        </w:trPr>
        <w:tc>
          <w:tcPr>
            <w:tcW w:w="3261" w:type="dxa"/>
            <w:shd w:val="clear" w:color="auto" w:fill="F2F2F2" w:themeFill="background1" w:themeFillShade="F2"/>
            <w:vAlign w:val="center"/>
          </w:tcPr>
          <w:p w14:paraId="7BF39CD8" w14:textId="77777777" w:rsidR="00A06CEF" w:rsidRPr="004F05E7" w:rsidRDefault="00A06CEF" w:rsidP="00A06CEF">
            <w:pPr>
              <w:spacing w:after="0" w:line="276" w:lineRule="auto"/>
              <w:ind w:left="447"/>
              <w:rPr>
                <w:b/>
                <w:bCs/>
              </w:rPr>
            </w:pPr>
            <w:r w:rsidRPr="004F05E7">
              <w:rPr>
                <w:b/>
                <w:bCs/>
              </w:rPr>
              <w:t>Adjudicación Directa:</w:t>
            </w:r>
          </w:p>
        </w:tc>
        <w:tc>
          <w:tcPr>
            <w:tcW w:w="1984" w:type="dxa"/>
            <w:shd w:val="clear" w:color="auto" w:fill="auto"/>
            <w:vAlign w:val="center"/>
          </w:tcPr>
          <w:p w14:paraId="4BD4FCBC" w14:textId="77777777" w:rsidR="00A06CEF" w:rsidRPr="004F05E7"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4F05E7" w:rsidRDefault="00A06CEF" w:rsidP="00C61D21">
            <w:pPr>
              <w:spacing w:after="0" w:line="276" w:lineRule="auto"/>
              <w:ind w:left="175"/>
              <w:rPr>
                <w:b/>
                <w:bCs/>
              </w:rPr>
            </w:pPr>
            <w:r w:rsidRPr="004F05E7">
              <w:rPr>
                <w:b/>
                <w:bCs/>
              </w:rPr>
              <w:t>Invitación a Tres:</w:t>
            </w:r>
          </w:p>
        </w:tc>
        <w:tc>
          <w:tcPr>
            <w:tcW w:w="1263" w:type="dxa"/>
            <w:shd w:val="clear" w:color="auto" w:fill="auto"/>
            <w:vAlign w:val="center"/>
          </w:tcPr>
          <w:p w14:paraId="5C28DA20" w14:textId="23E5B689" w:rsidR="00A06CEF" w:rsidRPr="004F05E7" w:rsidRDefault="004F05E7" w:rsidP="00A06CEF">
            <w:pPr>
              <w:spacing w:after="0" w:line="276" w:lineRule="auto"/>
              <w:jc w:val="center"/>
            </w:pPr>
            <w:r w:rsidRPr="004F05E7">
              <w:t>X</w:t>
            </w:r>
          </w:p>
        </w:tc>
      </w:tr>
      <w:tr w:rsidR="00A06CEF" w:rsidRPr="004F05E7" w14:paraId="01645121" w14:textId="77777777" w:rsidTr="003F6695">
        <w:trPr>
          <w:trHeight w:val="340"/>
        </w:trPr>
        <w:tc>
          <w:tcPr>
            <w:tcW w:w="3261" w:type="dxa"/>
            <w:shd w:val="clear" w:color="auto" w:fill="F2F2F2" w:themeFill="background1" w:themeFillShade="F2"/>
            <w:vAlign w:val="center"/>
          </w:tcPr>
          <w:p w14:paraId="3E7D0EB1" w14:textId="77777777" w:rsidR="00A06CEF" w:rsidRPr="004F05E7" w:rsidRDefault="00A06CEF" w:rsidP="00A06CEF">
            <w:pPr>
              <w:spacing w:after="0" w:line="276" w:lineRule="auto"/>
              <w:ind w:left="447"/>
              <w:rPr>
                <w:b/>
                <w:bCs/>
              </w:rPr>
            </w:pPr>
            <w:r w:rsidRPr="004F05E7">
              <w:rPr>
                <w:b/>
                <w:bCs/>
              </w:rPr>
              <w:t>Licitación Pública Nacional:</w:t>
            </w:r>
          </w:p>
        </w:tc>
        <w:tc>
          <w:tcPr>
            <w:tcW w:w="1984" w:type="dxa"/>
            <w:shd w:val="clear" w:color="auto" w:fill="auto"/>
            <w:vAlign w:val="center"/>
          </w:tcPr>
          <w:p w14:paraId="5EA96102" w14:textId="77777777" w:rsidR="00A06CEF" w:rsidRPr="004F05E7"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4F05E7" w:rsidRDefault="00A06CEF" w:rsidP="00C61D21">
            <w:pPr>
              <w:spacing w:after="0" w:line="276" w:lineRule="auto"/>
              <w:ind w:left="175"/>
              <w:rPr>
                <w:b/>
                <w:bCs/>
              </w:rPr>
            </w:pPr>
            <w:r w:rsidRPr="004F05E7">
              <w:rPr>
                <w:b/>
                <w:bCs/>
              </w:rPr>
              <w:t>Licitación Pública Internacional:</w:t>
            </w:r>
          </w:p>
        </w:tc>
        <w:tc>
          <w:tcPr>
            <w:tcW w:w="1263" w:type="dxa"/>
            <w:shd w:val="clear" w:color="auto" w:fill="auto"/>
            <w:vAlign w:val="center"/>
          </w:tcPr>
          <w:p w14:paraId="24663DF9" w14:textId="77777777" w:rsidR="00A06CEF" w:rsidRPr="004F05E7" w:rsidRDefault="00A06CEF" w:rsidP="00A06CEF">
            <w:pPr>
              <w:spacing w:after="0" w:line="276" w:lineRule="auto"/>
              <w:jc w:val="center"/>
            </w:pPr>
          </w:p>
        </w:tc>
      </w:tr>
      <w:tr w:rsidR="00A06CEF" w:rsidRPr="004F05E7" w14:paraId="163531B5" w14:textId="77777777" w:rsidTr="003F6695">
        <w:trPr>
          <w:trHeight w:val="340"/>
        </w:trPr>
        <w:tc>
          <w:tcPr>
            <w:tcW w:w="3261" w:type="dxa"/>
            <w:shd w:val="clear" w:color="auto" w:fill="F2F2F2" w:themeFill="background1" w:themeFillShade="F2"/>
            <w:vAlign w:val="center"/>
          </w:tcPr>
          <w:p w14:paraId="00890009" w14:textId="77777777" w:rsidR="00A06CEF" w:rsidRPr="004F05E7" w:rsidRDefault="00A06CEF" w:rsidP="00A06CEF">
            <w:pPr>
              <w:spacing w:after="0" w:line="276" w:lineRule="auto"/>
              <w:ind w:left="447"/>
              <w:rPr>
                <w:b/>
                <w:bCs/>
              </w:rPr>
            </w:pPr>
            <w:r w:rsidRPr="004F05E7">
              <w:rPr>
                <w:b/>
                <w:bCs/>
              </w:rPr>
              <w:t>Otro (</w:t>
            </w:r>
            <w:r w:rsidR="00C61D21" w:rsidRPr="004F05E7">
              <w:rPr>
                <w:b/>
                <w:bCs/>
              </w:rPr>
              <w:t>especificar</w:t>
            </w:r>
            <w:r w:rsidRPr="004F05E7">
              <w:rPr>
                <w:b/>
                <w:bCs/>
              </w:rPr>
              <w:t>):</w:t>
            </w:r>
          </w:p>
        </w:tc>
        <w:tc>
          <w:tcPr>
            <w:tcW w:w="6649" w:type="dxa"/>
            <w:gridSpan w:val="3"/>
            <w:shd w:val="clear" w:color="auto" w:fill="auto"/>
            <w:vAlign w:val="center"/>
          </w:tcPr>
          <w:p w14:paraId="22D310B8" w14:textId="6CF14B01" w:rsidR="00A06CEF" w:rsidRPr="004F05E7" w:rsidRDefault="00A06CEF" w:rsidP="00A06CEF">
            <w:pPr>
              <w:spacing w:after="0" w:line="276" w:lineRule="auto"/>
            </w:pPr>
          </w:p>
        </w:tc>
      </w:tr>
      <w:tr w:rsidR="00090637" w:rsidRPr="004F05E7" w14:paraId="26415400" w14:textId="77777777" w:rsidTr="003F6695">
        <w:trPr>
          <w:trHeight w:val="340"/>
        </w:trPr>
        <w:tc>
          <w:tcPr>
            <w:tcW w:w="9910" w:type="dxa"/>
            <w:gridSpan w:val="4"/>
            <w:shd w:val="clear" w:color="auto" w:fill="F2F2F2" w:themeFill="background1" w:themeFillShade="F2"/>
            <w:vAlign w:val="center"/>
          </w:tcPr>
          <w:p w14:paraId="11C0A331" w14:textId="77777777" w:rsidR="00090637" w:rsidRPr="004F05E7" w:rsidRDefault="00C61D21" w:rsidP="006F4B1F">
            <w:pPr>
              <w:pStyle w:val="Prrafodelista"/>
              <w:numPr>
                <w:ilvl w:val="1"/>
                <w:numId w:val="16"/>
              </w:numPr>
              <w:spacing w:after="0" w:line="276" w:lineRule="auto"/>
              <w:ind w:left="462"/>
              <w:rPr>
                <w:b/>
                <w:bCs/>
              </w:rPr>
            </w:pPr>
            <w:r w:rsidRPr="004F05E7">
              <w:rPr>
                <w:rFonts w:eastAsia="Times New Roman"/>
                <w:b/>
                <w:color w:val="000000"/>
                <w:lang w:eastAsia="es-MX"/>
              </w:rPr>
              <w:t>Unidad Administrativa Responsable de Contratar la Evaluación:</w:t>
            </w:r>
          </w:p>
        </w:tc>
      </w:tr>
      <w:tr w:rsidR="00090637" w:rsidRPr="004F05E7" w14:paraId="4305D4C3" w14:textId="77777777" w:rsidTr="00AD2902">
        <w:trPr>
          <w:trHeight w:val="340"/>
        </w:trPr>
        <w:tc>
          <w:tcPr>
            <w:tcW w:w="9910" w:type="dxa"/>
            <w:gridSpan w:val="4"/>
            <w:shd w:val="clear" w:color="auto" w:fill="auto"/>
            <w:vAlign w:val="center"/>
          </w:tcPr>
          <w:p w14:paraId="334040E1" w14:textId="671D91D1" w:rsidR="00090637" w:rsidRPr="004F05E7" w:rsidRDefault="00091973" w:rsidP="00521401">
            <w:pPr>
              <w:spacing w:after="0" w:line="276" w:lineRule="auto"/>
              <w:ind w:left="179"/>
            </w:pPr>
            <w:r w:rsidRPr="004F05E7">
              <w:t>Servicios de Salud de Sinaloa</w:t>
            </w:r>
          </w:p>
        </w:tc>
      </w:tr>
      <w:tr w:rsidR="00090637" w:rsidRPr="004F05E7" w14:paraId="513CF278" w14:textId="77777777" w:rsidTr="003F6695">
        <w:trPr>
          <w:trHeight w:val="340"/>
        </w:trPr>
        <w:tc>
          <w:tcPr>
            <w:tcW w:w="9910" w:type="dxa"/>
            <w:gridSpan w:val="4"/>
            <w:shd w:val="clear" w:color="auto" w:fill="F2F2F2" w:themeFill="background1" w:themeFillShade="F2"/>
            <w:vAlign w:val="center"/>
          </w:tcPr>
          <w:p w14:paraId="51C016F1" w14:textId="77777777" w:rsidR="00090637" w:rsidRPr="004F05E7" w:rsidRDefault="00C61D21" w:rsidP="006F4B1F">
            <w:pPr>
              <w:pStyle w:val="Prrafodelista"/>
              <w:numPr>
                <w:ilvl w:val="1"/>
                <w:numId w:val="16"/>
              </w:numPr>
              <w:spacing w:after="0" w:line="276" w:lineRule="auto"/>
              <w:ind w:left="462"/>
              <w:rPr>
                <w:rFonts w:eastAsia="Times New Roman"/>
                <w:b/>
                <w:color w:val="000000"/>
                <w:lang w:eastAsia="es-MX"/>
              </w:rPr>
            </w:pPr>
            <w:r w:rsidRPr="004F05E7">
              <w:rPr>
                <w:rFonts w:eastAsia="Times New Roman"/>
                <w:b/>
                <w:color w:val="000000"/>
                <w:lang w:eastAsia="es-MX"/>
              </w:rPr>
              <w:t>Costo Total de la Evaluación:</w:t>
            </w:r>
          </w:p>
        </w:tc>
      </w:tr>
      <w:tr w:rsidR="00090637" w:rsidRPr="004F05E7" w14:paraId="5CBDEAA7" w14:textId="77777777" w:rsidTr="00AD2902">
        <w:trPr>
          <w:trHeight w:val="340"/>
        </w:trPr>
        <w:tc>
          <w:tcPr>
            <w:tcW w:w="9910" w:type="dxa"/>
            <w:gridSpan w:val="4"/>
            <w:shd w:val="clear" w:color="auto" w:fill="auto"/>
            <w:vAlign w:val="center"/>
          </w:tcPr>
          <w:p w14:paraId="2A2EB40C" w14:textId="3826721F" w:rsidR="00090637" w:rsidRPr="004F05E7" w:rsidRDefault="00C61D21" w:rsidP="00521401">
            <w:pPr>
              <w:spacing w:after="0" w:line="276" w:lineRule="auto"/>
              <w:ind w:left="179"/>
            </w:pPr>
            <w:r w:rsidRPr="004F05E7">
              <w:t>$</w:t>
            </w:r>
            <w:r w:rsidR="00091973" w:rsidRPr="004F05E7">
              <w:t>80,000.00 (Ochenta mil pesos 00/100 m.n.)</w:t>
            </w:r>
          </w:p>
        </w:tc>
      </w:tr>
      <w:tr w:rsidR="00090637" w:rsidRPr="004F05E7" w14:paraId="35D311F3" w14:textId="77777777" w:rsidTr="003F6695">
        <w:trPr>
          <w:trHeight w:val="340"/>
        </w:trPr>
        <w:tc>
          <w:tcPr>
            <w:tcW w:w="9910" w:type="dxa"/>
            <w:gridSpan w:val="4"/>
            <w:shd w:val="clear" w:color="auto" w:fill="F2F2F2" w:themeFill="background1" w:themeFillShade="F2"/>
            <w:vAlign w:val="center"/>
          </w:tcPr>
          <w:p w14:paraId="7CDFEEA4" w14:textId="77777777" w:rsidR="00090637" w:rsidRPr="004F05E7" w:rsidRDefault="00C61D21" w:rsidP="006F4B1F">
            <w:pPr>
              <w:pStyle w:val="Prrafodelista"/>
              <w:numPr>
                <w:ilvl w:val="1"/>
                <w:numId w:val="16"/>
              </w:numPr>
              <w:spacing w:after="0" w:line="276" w:lineRule="auto"/>
              <w:ind w:left="462"/>
              <w:rPr>
                <w:rFonts w:eastAsia="Times New Roman"/>
                <w:b/>
                <w:color w:val="000000"/>
                <w:lang w:eastAsia="es-MX"/>
              </w:rPr>
            </w:pPr>
            <w:r w:rsidRPr="004F05E7">
              <w:rPr>
                <w:rFonts w:eastAsia="Times New Roman"/>
                <w:b/>
                <w:color w:val="000000"/>
                <w:lang w:eastAsia="es-MX"/>
              </w:rPr>
              <w:t>Fuente de Financiamiento:</w:t>
            </w:r>
          </w:p>
        </w:tc>
      </w:tr>
      <w:tr w:rsidR="004C435E" w:rsidRPr="004F05E7" w14:paraId="0EF2F8FE" w14:textId="77777777" w:rsidTr="00AD2902">
        <w:trPr>
          <w:trHeight w:val="340"/>
        </w:trPr>
        <w:tc>
          <w:tcPr>
            <w:tcW w:w="9910" w:type="dxa"/>
            <w:gridSpan w:val="4"/>
            <w:shd w:val="clear" w:color="auto" w:fill="auto"/>
            <w:vAlign w:val="center"/>
          </w:tcPr>
          <w:p w14:paraId="7D64613A" w14:textId="3651C516" w:rsidR="004C435E" w:rsidRPr="004F05E7" w:rsidRDefault="004F05E7" w:rsidP="004C435E">
            <w:pPr>
              <w:spacing w:after="0" w:line="276" w:lineRule="auto"/>
              <w:ind w:left="179"/>
            </w:pPr>
            <w:r w:rsidRPr="004F05E7">
              <w:t>FASSA 2022</w:t>
            </w:r>
          </w:p>
        </w:tc>
      </w:tr>
      <w:tr w:rsidR="00090637" w:rsidRPr="004F05E7" w14:paraId="2A1035F1" w14:textId="77777777" w:rsidTr="00C61D21">
        <w:trPr>
          <w:trHeight w:val="340"/>
        </w:trPr>
        <w:tc>
          <w:tcPr>
            <w:tcW w:w="9910" w:type="dxa"/>
            <w:gridSpan w:val="4"/>
            <w:shd w:val="clear" w:color="auto" w:fill="auto"/>
            <w:vAlign w:val="center"/>
          </w:tcPr>
          <w:p w14:paraId="1A46D2C3" w14:textId="77777777" w:rsidR="004C435E" w:rsidRPr="004F05E7" w:rsidRDefault="004C435E" w:rsidP="000D2A1A">
            <w:pPr>
              <w:spacing w:after="0" w:line="276" w:lineRule="auto"/>
            </w:pPr>
          </w:p>
        </w:tc>
      </w:tr>
    </w:tbl>
    <w:p w14:paraId="709F661F" w14:textId="77777777" w:rsidR="00AB629A" w:rsidRPr="004F05E7" w:rsidRDefault="00AB629A">
      <w:r w:rsidRPr="004F05E7">
        <w:br w:type="page"/>
      </w:r>
    </w:p>
    <w:tbl>
      <w:tblPr>
        <w:tblStyle w:val="Tablaconcuadrcula"/>
        <w:tblW w:w="0" w:type="auto"/>
        <w:tblLook w:val="04A0" w:firstRow="1" w:lastRow="0" w:firstColumn="1" w:lastColumn="0" w:noHBand="0" w:noVBand="1"/>
      </w:tblPr>
      <w:tblGrid>
        <w:gridCol w:w="9910"/>
      </w:tblGrid>
      <w:tr w:rsidR="00090637" w:rsidRPr="004F05E7" w14:paraId="48B7EE05" w14:textId="77777777" w:rsidTr="00397FC7">
        <w:trPr>
          <w:trHeight w:val="340"/>
        </w:trPr>
        <w:tc>
          <w:tcPr>
            <w:tcW w:w="9910" w:type="dxa"/>
            <w:tcBorders>
              <w:top w:val="nil"/>
              <w:left w:val="nil"/>
              <w:bottom w:val="nil"/>
              <w:right w:val="nil"/>
            </w:tcBorders>
            <w:shd w:val="clear" w:color="auto" w:fill="651D32"/>
            <w:vAlign w:val="center"/>
          </w:tcPr>
          <w:p w14:paraId="4AF233BE" w14:textId="274A8364" w:rsidR="00090637" w:rsidRPr="004F05E7" w:rsidRDefault="00090637" w:rsidP="006F4B1F">
            <w:pPr>
              <w:pStyle w:val="Prrafodelista"/>
              <w:numPr>
                <w:ilvl w:val="0"/>
                <w:numId w:val="4"/>
              </w:numPr>
              <w:spacing w:after="0" w:line="276" w:lineRule="auto"/>
            </w:pPr>
            <w:r w:rsidRPr="004F05E7">
              <w:rPr>
                <w:b/>
                <w:bCs/>
                <w:color w:val="FFFFFF" w:themeColor="background1"/>
              </w:rPr>
              <w:lastRenderedPageBreak/>
              <w:t>D</w:t>
            </w:r>
            <w:r w:rsidR="007D00B1" w:rsidRPr="004F05E7">
              <w:rPr>
                <w:b/>
                <w:bCs/>
                <w:color w:val="FFFFFF" w:themeColor="background1"/>
              </w:rPr>
              <w:t>ifusión de la Evaluación</w:t>
            </w:r>
          </w:p>
        </w:tc>
      </w:tr>
      <w:tr w:rsidR="00090637" w:rsidRPr="004F05E7" w14:paraId="66E708FB" w14:textId="77777777" w:rsidTr="00397FC7">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4F05E7" w:rsidRDefault="007D00B1" w:rsidP="006F4B1F">
            <w:pPr>
              <w:pStyle w:val="Prrafodelista"/>
              <w:numPr>
                <w:ilvl w:val="1"/>
                <w:numId w:val="15"/>
              </w:numPr>
              <w:spacing w:after="0" w:line="276" w:lineRule="auto"/>
              <w:ind w:left="462"/>
              <w:rPr>
                <w:b/>
                <w:bCs/>
              </w:rPr>
            </w:pPr>
            <w:r w:rsidRPr="004F05E7">
              <w:rPr>
                <w:rFonts w:eastAsia="Times New Roman"/>
                <w:b/>
                <w:color w:val="000000"/>
                <w:lang w:eastAsia="es-MX"/>
              </w:rPr>
              <w:t>Difusión en Internet de la Evaluación:</w:t>
            </w:r>
          </w:p>
        </w:tc>
      </w:tr>
      <w:tr w:rsidR="00090637" w:rsidRPr="004F05E7" w14:paraId="50376562" w14:textId="77777777" w:rsidTr="00397FC7">
        <w:trPr>
          <w:trHeight w:val="340"/>
        </w:trPr>
        <w:tc>
          <w:tcPr>
            <w:tcW w:w="9910" w:type="dxa"/>
            <w:tcBorders>
              <w:top w:val="nil"/>
              <w:left w:val="nil"/>
              <w:bottom w:val="nil"/>
              <w:right w:val="nil"/>
            </w:tcBorders>
            <w:shd w:val="clear" w:color="auto" w:fill="auto"/>
            <w:vAlign w:val="center"/>
          </w:tcPr>
          <w:p w14:paraId="48506B76" w14:textId="0D837CA7" w:rsidR="00B73B22" w:rsidRPr="004F05E7" w:rsidRDefault="00BC28C4" w:rsidP="00B73B22">
            <w:pPr>
              <w:spacing w:after="0" w:line="276" w:lineRule="auto"/>
              <w:ind w:left="447"/>
              <w:rPr>
                <w:rFonts w:eastAsia="Times New Roman"/>
                <w:color w:val="0563C1"/>
                <w:lang w:eastAsia="es-MX"/>
              </w:rPr>
            </w:pPr>
            <w:hyperlink r:id="rId14" w:history="1">
              <w:r w:rsidR="00B73B22" w:rsidRPr="004F05E7">
                <w:rPr>
                  <w:rStyle w:val="Hipervnculo"/>
                  <w:rFonts w:eastAsia="Times New Roman"/>
                  <w:lang w:eastAsia="es-MX"/>
                </w:rPr>
                <w:t>http://saludsinaloa.gob.mx</w:t>
              </w:r>
            </w:hyperlink>
            <w:r w:rsidR="00B73B22" w:rsidRPr="004F05E7">
              <w:rPr>
                <w:rStyle w:val="Hipervnculo"/>
                <w:rFonts w:eastAsia="Times New Roman"/>
                <w:u w:val="none"/>
                <w:lang w:eastAsia="es-MX"/>
              </w:rPr>
              <w:t xml:space="preserve">,  </w:t>
            </w:r>
            <w:hyperlink r:id="rId15" w:history="1">
              <w:r w:rsidR="00B73B22" w:rsidRPr="004F05E7">
                <w:rPr>
                  <w:rStyle w:val="Hipervnculo"/>
                  <w:rFonts w:eastAsia="Times New Roman"/>
                  <w:lang w:eastAsia="es-MX"/>
                </w:rPr>
                <w:t>http://evalua.sinaloa.gob.mx/</w:t>
              </w:r>
            </w:hyperlink>
          </w:p>
        </w:tc>
      </w:tr>
      <w:tr w:rsidR="00090637" w:rsidRPr="004F05E7" w14:paraId="4769C860" w14:textId="77777777" w:rsidTr="00397FC7">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4F05E7" w:rsidRDefault="007D00B1" w:rsidP="006F4B1F">
            <w:pPr>
              <w:pStyle w:val="Prrafodelista"/>
              <w:numPr>
                <w:ilvl w:val="1"/>
                <w:numId w:val="15"/>
              </w:numPr>
              <w:spacing w:after="0" w:line="276" w:lineRule="auto"/>
              <w:ind w:left="462"/>
              <w:rPr>
                <w:rFonts w:eastAsia="Times New Roman"/>
                <w:b/>
                <w:color w:val="000000"/>
                <w:lang w:eastAsia="es-MX"/>
              </w:rPr>
            </w:pPr>
            <w:r w:rsidRPr="004F05E7">
              <w:rPr>
                <w:rFonts w:eastAsia="Times New Roman"/>
                <w:b/>
                <w:color w:val="000000"/>
                <w:lang w:eastAsia="es-MX"/>
              </w:rPr>
              <w:t>Difusión en Internet del Formato:</w:t>
            </w:r>
          </w:p>
        </w:tc>
      </w:tr>
      <w:tr w:rsidR="00B73B22" w14:paraId="63F577C5" w14:textId="77777777" w:rsidTr="00397FC7">
        <w:trPr>
          <w:trHeight w:val="340"/>
        </w:trPr>
        <w:tc>
          <w:tcPr>
            <w:tcW w:w="9910" w:type="dxa"/>
            <w:tcBorders>
              <w:top w:val="nil"/>
              <w:left w:val="nil"/>
              <w:bottom w:val="nil"/>
              <w:right w:val="nil"/>
            </w:tcBorders>
            <w:shd w:val="clear" w:color="auto" w:fill="auto"/>
            <w:vAlign w:val="center"/>
          </w:tcPr>
          <w:p w14:paraId="4038F400" w14:textId="4FAFF700" w:rsidR="00B73B22" w:rsidRPr="00866990" w:rsidRDefault="00BC28C4" w:rsidP="00B73B22">
            <w:pPr>
              <w:spacing w:after="0" w:line="276" w:lineRule="auto"/>
              <w:ind w:left="447"/>
            </w:pPr>
            <w:hyperlink r:id="rId16" w:history="1">
              <w:r w:rsidR="00B73B22" w:rsidRPr="004F05E7">
                <w:rPr>
                  <w:rStyle w:val="Hipervnculo"/>
                  <w:rFonts w:eastAsia="Times New Roman"/>
                  <w:lang w:eastAsia="es-MX"/>
                </w:rPr>
                <w:t>http://saludsinaloa.gob.mx</w:t>
              </w:r>
            </w:hyperlink>
            <w:r w:rsidR="00B73B22" w:rsidRPr="004F05E7">
              <w:rPr>
                <w:rStyle w:val="Hipervnculo"/>
                <w:rFonts w:eastAsia="Times New Roman"/>
                <w:u w:val="none"/>
                <w:lang w:eastAsia="es-MX"/>
              </w:rPr>
              <w:t xml:space="preserve">,  </w:t>
            </w:r>
            <w:hyperlink r:id="rId17" w:history="1">
              <w:r w:rsidR="00B73B22" w:rsidRPr="004F05E7">
                <w:rPr>
                  <w:rStyle w:val="Hipervnculo"/>
                  <w:rFonts w:eastAsia="Times New Roman"/>
                  <w:lang w:eastAsia="es-MX"/>
                </w:rPr>
                <w:t>http://evalua.sinaloa.gob.mx/</w:t>
              </w:r>
            </w:hyperlink>
          </w:p>
        </w:tc>
      </w:tr>
    </w:tbl>
    <w:p w14:paraId="5B009D40" w14:textId="27A2F5A2" w:rsidR="00090637" w:rsidRPr="00AF2993" w:rsidRDefault="00090637" w:rsidP="00090637">
      <w:pPr>
        <w:spacing w:after="0" w:line="276" w:lineRule="auto"/>
        <w:jc w:val="both"/>
        <w:rPr>
          <w:lang w:val="es-ES"/>
        </w:rPr>
      </w:pPr>
    </w:p>
    <w:sectPr w:rsidR="00090637" w:rsidRPr="00AF2993" w:rsidSect="002C74F0">
      <w:pgSz w:w="12240" w:h="15840"/>
      <w:pgMar w:top="1418" w:right="902" w:bottom="1134" w:left="1418" w:header="567"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7958" w14:textId="77777777" w:rsidR="00397FC7" w:rsidRDefault="00397FC7" w:rsidP="008E5209">
      <w:pPr>
        <w:spacing w:after="0" w:line="240" w:lineRule="auto"/>
      </w:pPr>
      <w:r>
        <w:separator/>
      </w:r>
    </w:p>
  </w:endnote>
  <w:endnote w:type="continuationSeparator" w:id="0">
    <w:p w14:paraId="0C5E5E1C" w14:textId="77777777" w:rsidR="00397FC7" w:rsidRDefault="00397FC7"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1642303576"/>
      <w:docPartObj>
        <w:docPartGallery w:val="Page Numbers (Bottom of Page)"/>
        <w:docPartUnique/>
      </w:docPartObj>
    </w:sdtPr>
    <w:sdtEndPr/>
    <w:sdtContent>
      <w:p w14:paraId="6ABA89A6" w14:textId="2260DEE3" w:rsidR="00397FC7" w:rsidRPr="00226E1B" w:rsidRDefault="00397FC7" w:rsidP="002C74F0">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AD2902">
          <w:rPr>
            <w:b/>
            <w:bCs/>
            <w:noProof/>
            <w:sz w:val="18"/>
            <w:szCs w:val="18"/>
          </w:rPr>
          <w:t>8</w:t>
        </w:r>
        <w:r w:rsidRPr="00226E1B">
          <w:rPr>
            <w:b/>
            <w:bCs/>
            <w:sz w:val="18"/>
            <w:szCs w:val="18"/>
          </w:rPr>
          <w:fldChar w:fldCharType="end"/>
        </w:r>
      </w:p>
    </w:sdtContent>
  </w:sdt>
  <w:p w14:paraId="0D417687" w14:textId="77777777" w:rsidR="00397FC7" w:rsidRPr="002C74F0" w:rsidRDefault="00397FC7" w:rsidP="002C74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310406665"/>
      <w:docPartObj>
        <w:docPartGallery w:val="Page Numbers (Bottom of Page)"/>
        <w:docPartUnique/>
      </w:docPartObj>
    </w:sdtPr>
    <w:sdtEndPr/>
    <w:sdtContent>
      <w:p w14:paraId="0E690CD3" w14:textId="158EDD10" w:rsidR="00397FC7" w:rsidRPr="00226E1B" w:rsidRDefault="00397FC7">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AD2902" w:rsidRPr="00AD2902">
          <w:rPr>
            <w:b/>
            <w:bCs/>
            <w:noProof/>
            <w:sz w:val="18"/>
            <w:szCs w:val="18"/>
            <w:lang w:val="es-ES"/>
          </w:rPr>
          <w:t>2</w:t>
        </w:r>
        <w:r w:rsidRPr="00226E1B">
          <w:rPr>
            <w:b/>
            <w:bCs/>
            <w:sz w:val="18"/>
            <w:szCs w:val="18"/>
          </w:rPr>
          <w:fldChar w:fldCharType="end"/>
        </w:r>
      </w:p>
    </w:sdtContent>
  </w:sdt>
  <w:p w14:paraId="6F1DC62D" w14:textId="77777777" w:rsidR="00397FC7" w:rsidRPr="00086DF2" w:rsidRDefault="00397FC7"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60064" w14:textId="77777777" w:rsidR="00397FC7" w:rsidRDefault="00397FC7" w:rsidP="008E5209">
      <w:pPr>
        <w:spacing w:after="0" w:line="240" w:lineRule="auto"/>
      </w:pPr>
      <w:r>
        <w:separator/>
      </w:r>
    </w:p>
  </w:footnote>
  <w:footnote w:type="continuationSeparator" w:id="0">
    <w:p w14:paraId="4E2CC1F5" w14:textId="77777777" w:rsidR="00397FC7" w:rsidRDefault="00397FC7"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27E2" w14:textId="77777777" w:rsidR="00397FC7" w:rsidRDefault="00397FC7" w:rsidP="00AB629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0EE17961" wp14:editId="7AFA2965">
          <wp:simplePos x="0" y="0"/>
          <wp:positionH relativeFrom="column">
            <wp:posOffset>-471805</wp:posOffset>
          </wp:positionH>
          <wp:positionV relativeFrom="paragraph">
            <wp:posOffset>-131445</wp:posOffset>
          </wp:positionV>
          <wp:extent cx="1924050" cy="653052"/>
          <wp:effectExtent l="0" t="0" r="0" b="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47C3A009" w14:textId="07236631" w:rsidR="00397FC7" w:rsidRPr="00AB629A" w:rsidRDefault="00397FC7" w:rsidP="00AB62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386" w14:textId="77777777" w:rsidR="00397FC7" w:rsidRDefault="00397FC7"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19D2993B" w14:textId="77777777" w:rsidR="00397FC7" w:rsidRPr="006D38E2" w:rsidRDefault="00397FC7"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68_"/>
      </v:shape>
    </w:pict>
  </w:numPicBullet>
  <w:abstractNum w:abstractNumId="0" w15:restartNumberingAfterBreak="0">
    <w:nsid w:val="008B0C19"/>
    <w:multiLevelType w:val="hybridMultilevel"/>
    <w:tmpl w:val="A49ED148"/>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15:restartNumberingAfterBreak="0">
    <w:nsid w:val="11D00CA9"/>
    <w:multiLevelType w:val="multilevel"/>
    <w:tmpl w:val="080A001F"/>
    <w:numStyleLink w:val="Estilo1"/>
  </w:abstractNum>
  <w:abstractNum w:abstractNumId="2"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3"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1450B3"/>
    <w:multiLevelType w:val="hybridMultilevel"/>
    <w:tmpl w:val="6122D184"/>
    <w:lvl w:ilvl="0" w:tplc="080A0001">
      <w:start w:val="1"/>
      <w:numFmt w:val="bullet"/>
      <w:lvlText w:val=""/>
      <w:lvlJc w:val="left"/>
      <w:pPr>
        <w:ind w:left="1004" w:hanging="360"/>
      </w:pPr>
      <w:rPr>
        <w:rFonts w:ascii="Symbol" w:hAnsi="Symbol"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8"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976FED"/>
    <w:multiLevelType w:val="hybridMultilevel"/>
    <w:tmpl w:val="5B289E42"/>
    <w:lvl w:ilvl="0" w:tplc="EC02BC94">
      <w:start w:val="1"/>
      <w:numFmt w:val="bullet"/>
      <w:lvlText w:val="•"/>
      <w:lvlJc w:val="left"/>
      <w:pPr>
        <w:tabs>
          <w:tab w:val="num" w:pos="720"/>
        </w:tabs>
        <w:ind w:left="720" w:hanging="360"/>
      </w:pPr>
      <w:rPr>
        <w:rFonts w:ascii="Arial" w:hAnsi="Arial" w:hint="default"/>
      </w:rPr>
    </w:lvl>
    <w:lvl w:ilvl="1" w:tplc="EBFCC34A" w:tentative="1">
      <w:start w:val="1"/>
      <w:numFmt w:val="bullet"/>
      <w:lvlText w:val="•"/>
      <w:lvlJc w:val="left"/>
      <w:pPr>
        <w:tabs>
          <w:tab w:val="num" w:pos="1440"/>
        </w:tabs>
        <w:ind w:left="1440" w:hanging="360"/>
      </w:pPr>
      <w:rPr>
        <w:rFonts w:ascii="Arial" w:hAnsi="Arial" w:hint="default"/>
      </w:rPr>
    </w:lvl>
    <w:lvl w:ilvl="2" w:tplc="6B52AF36" w:tentative="1">
      <w:start w:val="1"/>
      <w:numFmt w:val="bullet"/>
      <w:lvlText w:val="•"/>
      <w:lvlJc w:val="left"/>
      <w:pPr>
        <w:tabs>
          <w:tab w:val="num" w:pos="2160"/>
        </w:tabs>
        <w:ind w:left="2160" w:hanging="360"/>
      </w:pPr>
      <w:rPr>
        <w:rFonts w:ascii="Arial" w:hAnsi="Arial" w:hint="default"/>
      </w:rPr>
    </w:lvl>
    <w:lvl w:ilvl="3" w:tplc="19B24458" w:tentative="1">
      <w:start w:val="1"/>
      <w:numFmt w:val="bullet"/>
      <w:lvlText w:val="•"/>
      <w:lvlJc w:val="left"/>
      <w:pPr>
        <w:tabs>
          <w:tab w:val="num" w:pos="2880"/>
        </w:tabs>
        <w:ind w:left="2880" w:hanging="360"/>
      </w:pPr>
      <w:rPr>
        <w:rFonts w:ascii="Arial" w:hAnsi="Arial" w:hint="default"/>
      </w:rPr>
    </w:lvl>
    <w:lvl w:ilvl="4" w:tplc="636EFFDC" w:tentative="1">
      <w:start w:val="1"/>
      <w:numFmt w:val="bullet"/>
      <w:lvlText w:val="•"/>
      <w:lvlJc w:val="left"/>
      <w:pPr>
        <w:tabs>
          <w:tab w:val="num" w:pos="3600"/>
        </w:tabs>
        <w:ind w:left="3600" w:hanging="360"/>
      </w:pPr>
      <w:rPr>
        <w:rFonts w:ascii="Arial" w:hAnsi="Arial" w:hint="default"/>
      </w:rPr>
    </w:lvl>
    <w:lvl w:ilvl="5" w:tplc="22AA5DBA" w:tentative="1">
      <w:start w:val="1"/>
      <w:numFmt w:val="bullet"/>
      <w:lvlText w:val="•"/>
      <w:lvlJc w:val="left"/>
      <w:pPr>
        <w:tabs>
          <w:tab w:val="num" w:pos="4320"/>
        </w:tabs>
        <w:ind w:left="4320" w:hanging="360"/>
      </w:pPr>
      <w:rPr>
        <w:rFonts w:ascii="Arial" w:hAnsi="Arial" w:hint="default"/>
      </w:rPr>
    </w:lvl>
    <w:lvl w:ilvl="6" w:tplc="445A8E5C" w:tentative="1">
      <w:start w:val="1"/>
      <w:numFmt w:val="bullet"/>
      <w:lvlText w:val="•"/>
      <w:lvlJc w:val="left"/>
      <w:pPr>
        <w:tabs>
          <w:tab w:val="num" w:pos="5040"/>
        </w:tabs>
        <w:ind w:left="5040" w:hanging="360"/>
      </w:pPr>
      <w:rPr>
        <w:rFonts w:ascii="Arial" w:hAnsi="Arial" w:hint="default"/>
      </w:rPr>
    </w:lvl>
    <w:lvl w:ilvl="7" w:tplc="F6DAB112" w:tentative="1">
      <w:start w:val="1"/>
      <w:numFmt w:val="bullet"/>
      <w:lvlText w:val="•"/>
      <w:lvlJc w:val="left"/>
      <w:pPr>
        <w:tabs>
          <w:tab w:val="num" w:pos="5760"/>
        </w:tabs>
        <w:ind w:left="5760" w:hanging="360"/>
      </w:pPr>
      <w:rPr>
        <w:rFonts w:ascii="Arial" w:hAnsi="Arial" w:hint="default"/>
      </w:rPr>
    </w:lvl>
    <w:lvl w:ilvl="8" w:tplc="6D8C11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12" w15:restartNumberingAfterBreak="0">
    <w:nsid w:val="60CC47AE"/>
    <w:multiLevelType w:val="hybridMultilevel"/>
    <w:tmpl w:val="1FA8BFF6"/>
    <w:lvl w:ilvl="0" w:tplc="2CF86C98">
      <w:start w:val="1"/>
      <w:numFmt w:val="upperRoman"/>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7BC0561B"/>
    <w:multiLevelType w:val="hybridMultilevel"/>
    <w:tmpl w:val="FD5AFA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4"/>
  </w:num>
  <w:num w:numId="2">
    <w:abstractNumId w:val="11"/>
  </w:num>
  <w:num w:numId="3">
    <w:abstractNumId w:val="3"/>
  </w:num>
  <w:num w:numId="4">
    <w:abstractNumId w:val="8"/>
  </w:num>
  <w:num w:numId="5">
    <w:abstractNumId w:val="1"/>
  </w:num>
  <w:num w:numId="6">
    <w:abstractNumId w:val="17"/>
  </w:num>
  <w:num w:numId="7">
    <w:abstractNumId w:val="18"/>
  </w:num>
  <w:num w:numId="8">
    <w:abstractNumId w:val="20"/>
  </w:num>
  <w:num w:numId="9">
    <w:abstractNumId w:val="9"/>
  </w:num>
  <w:num w:numId="10">
    <w:abstractNumId w:val="4"/>
  </w:num>
  <w:num w:numId="11">
    <w:abstractNumId w:val="5"/>
  </w:num>
  <w:num w:numId="12">
    <w:abstractNumId w:val="16"/>
  </w:num>
  <w:num w:numId="13">
    <w:abstractNumId w:val="15"/>
  </w:num>
  <w:num w:numId="14">
    <w:abstractNumId w:val="13"/>
  </w:num>
  <w:num w:numId="15">
    <w:abstractNumId w:val="7"/>
  </w:num>
  <w:num w:numId="16">
    <w:abstractNumId w:val="2"/>
  </w:num>
  <w:num w:numId="17">
    <w:abstractNumId w:val="19"/>
  </w:num>
  <w:num w:numId="18">
    <w:abstractNumId w:val="10"/>
  </w:num>
  <w:num w:numId="19">
    <w:abstractNumId w:val="12"/>
  </w:num>
  <w:num w:numId="20">
    <w:abstractNumId w:val="0"/>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7F38"/>
    <w:rsid w:val="000228F8"/>
    <w:rsid w:val="00023EAD"/>
    <w:rsid w:val="00024AE9"/>
    <w:rsid w:val="0003464C"/>
    <w:rsid w:val="00037498"/>
    <w:rsid w:val="000438D4"/>
    <w:rsid w:val="00057C89"/>
    <w:rsid w:val="00063EAD"/>
    <w:rsid w:val="00067330"/>
    <w:rsid w:val="00072141"/>
    <w:rsid w:val="00076C94"/>
    <w:rsid w:val="00080258"/>
    <w:rsid w:val="00082BC3"/>
    <w:rsid w:val="00083A07"/>
    <w:rsid w:val="00084948"/>
    <w:rsid w:val="00084B2C"/>
    <w:rsid w:val="000851A2"/>
    <w:rsid w:val="00086DF2"/>
    <w:rsid w:val="00090637"/>
    <w:rsid w:val="00091973"/>
    <w:rsid w:val="000919D6"/>
    <w:rsid w:val="000A0543"/>
    <w:rsid w:val="000A1553"/>
    <w:rsid w:val="000A1D0D"/>
    <w:rsid w:val="000A4397"/>
    <w:rsid w:val="000B745B"/>
    <w:rsid w:val="000C18FD"/>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035F"/>
    <w:rsid w:val="0014399A"/>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1C8"/>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B666E"/>
    <w:rsid w:val="002C74F0"/>
    <w:rsid w:val="002D1AFC"/>
    <w:rsid w:val="002D3EA7"/>
    <w:rsid w:val="002D457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3799F"/>
    <w:rsid w:val="00342BB1"/>
    <w:rsid w:val="00345DBF"/>
    <w:rsid w:val="00351B94"/>
    <w:rsid w:val="0036452B"/>
    <w:rsid w:val="003671EF"/>
    <w:rsid w:val="00375FD1"/>
    <w:rsid w:val="003800F3"/>
    <w:rsid w:val="003867E1"/>
    <w:rsid w:val="003917C6"/>
    <w:rsid w:val="003954C6"/>
    <w:rsid w:val="00395F14"/>
    <w:rsid w:val="003964B5"/>
    <w:rsid w:val="00397FC7"/>
    <w:rsid w:val="003A41E4"/>
    <w:rsid w:val="003C3463"/>
    <w:rsid w:val="003C5877"/>
    <w:rsid w:val="003C5B02"/>
    <w:rsid w:val="003D5C34"/>
    <w:rsid w:val="003E1018"/>
    <w:rsid w:val="003E2094"/>
    <w:rsid w:val="003E326B"/>
    <w:rsid w:val="003E4BAA"/>
    <w:rsid w:val="003E6905"/>
    <w:rsid w:val="003E6E57"/>
    <w:rsid w:val="003F0AF3"/>
    <w:rsid w:val="003F315D"/>
    <w:rsid w:val="003F6695"/>
    <w:rsid w:val="003F7242"/>
    <w:rsid w:val="00413C04"/>
    <w:rsid w:val="0041452B"/>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05E7"/>
    <w:rsid w:val="004F10CF"/>
    <w:rsid w:val="004F1261"/>
    <w:rsid w:val="0050641D"/>
    <w:rsid w:val="005065B9"/>
    <w:rsid w:val="00510CF9"/>
    <w:rsid w:val="00521401"/>
    <w:rsid w:val="00526289"/>
    <w:rsid w:val="00530B95"/>
    <w:rsid w:val="00531BE3"/>
    <w:rsid w:val="00531C3D"/>
    <w:rsid w:val="005369D7"/>
    <w:rsid w:val="00544072"/>
    <w:rsid w:val="00550AFC"/>
    <w:rsid w:val="00555F51"/>
    <w:rsid w:val="005565AC"/>
    <w:rsid w:val="00564E3C"/>
    <w:rsid w:val="005670C1"/>
    <w:rsid w:val="00575727"/>
    <w:rsid w:val="005773F7"/>
    <w:rsid w:val="00581B4A"/>
    <w:rsid w:val="005826E6"/>
    <w:rsid w:val="005845F6"/>
    <w:rsid w:val="0058664C"/>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3FF8"/>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123CC"/>
    <w:rsid w:val="00822FE3"/>
    <w:rsid w:val="00823754"/>
    <w:rsid w:val="00827FA5"/>
    <w:rsid w:val="0083482F"/>
    <w:rsid w:val="008405A6"/>
    <w:rsid w:val="008457AC"/>
    <w:rsid w:val="0085511A"/>
    <w:rsid w:val="00855D89"/>
    <w:rsid w:val="0085672F"/>
    <w:rsid w:val="00857815"/>
    <w:rsid w:val="0085799F"/>
    <w:rsid w:val="00860E2B"/>
    <w:rsid w:val="0086126F"/>
    <w:rsid w:val="00862223"/>
    <w:rsid w:val="00866990"/>
    <w:rsid w:val="008726E2"/>
    <w:rsid w:val="00874C99"/>
    <w:rsid w:val="0088276D"/>
    <w:rsid w:val="00882D04"/>
    <w:rsid w:val="008855AA"/>
    <w:rsid w:val="008905B0"/>
    <w:rsid w:val="00890761"/>
    <w:rsid w:val="0089095B"/>
    <w:rsid w:val="0089781D"/>
    <w:rsid w:val="008A0BCB"/>
    <w:rsid w:val="008A0CB2"/>
    <w:rsid w:val="008C11F4"/>
    <w:rsid w:val="008D08A8"/>
    <w:rsid w:val="008D2433"/>
    <w:rsid w:val="008D5CEB"/>
    <w:rsid w:val="008E3483"/>
    <w:rsid w:val="008E5209"/>
    <w:rsid w:val="008E7620"/>
    <w:rsid w:val="008F0494"/>
    <w:rsid w:val="008F1D6E"/>
    <w:rsid w:val="008F370D"/>
    <w:rsid w:val="0091170D"/>
    <w:rsid w:val="00913E80"/>
    <w:rsid w:val="00915635"/>
    <w:rsid w:val="00915DBE"/>
    <w:rsid w:val="009160E1"/>
    <w:rsid w:val="0092465C"/>
    <w:rsid w:val="00925C75"/>
    <w:rsid w:val="009263AC"/>
    <w:rsid w:val="00927BF6"/>
    <w:rsid w:val="00934890"/>
    <w:rsid w:val="009352D5"/>
    <w:rsid w:val="00950021"/>
    <w:rsid w:val="009576E0"/>
    <w:rsid w:val="0096110F"/>
    <w:rsid w:val="009768FB"/>
    <w:rsid w:val="0098143F"/>
    <w:rsid w:val="00983315"/>
    <w:rsid w:val="009A182A"/>
    <w:rsid w:val="009A3BA4"/>
    <w:rsid w:val="009A5027"/>
    <w:rsid w:val="009B3B2B"/>
    <w:rsid w:val="009B5E2C"/>
    <w:rsid w:val="009B7088"/>
    <w:rsid w:val="009B795A"/>
    <w:rsid w:val="009C09E2"/>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07C74"/>
    <w:rsid w:val="00A165BB"/>
    <w:rsid w:val="00A16C5A"/>
    <w:rsid w:val="00A3027C"/>
    <w:rsid w:val="00A30BA4"/>
    <w:rsid w:val="00A342A7"/>
    <w:rsid w:val="00A349AA"/>
    <w:rsid w:val="00A41EEE"/>
    <w:rsid w:val="00A4378B"/>
    <w:rsid w:val="00A45C63"/>
    <w:rsid w:val="00A46A7F"/>
    <w:rsid w:val="00A564F9"/>
    <w:rsid w:val="00A609A3"/>
    <w:rsid w:val="00A62C84"/>
    <w:rsid w:val="00A631C2"/>
    <w:rsid w:val="00A63712"/>
    <w:rsid w:val="00A63A24"/>
    <w:rsid w:val="00A65303"/>
    <w:rsid w:val="00A65C5E"/>
    <w:rsid w:val="00A70556"/>
    <w:rsid w:val="00A7110A"/>
    <w:rsid w:val="00A74CCC"/>
    <w:rsid w:val="00A753A2"/>
    <w:rsid w:val="00A82DED"/>
    <w:rsid w:val="00A84C9A"/>
    <w:rsid w:val="00A97B59"/>
    <w:rsid w:val="00AA0950"/>
    <w:rsid w:val="00AA2447"/>
    <w:rsid w:val="00AA3309"/>
    <w:rsid w:val="00AA40C9"/>
    <w:rsid w:val="00AA6734"/>
    <w:rsid w:val="00AB2884"/>
    <w:rsid w:val="00AB5C90"/>
    <w:rsid w:val="00AB629A"/>
    <w:rsid w:val="00AC3905"/>
    <w:rsid w:val="00AC54AF"/>
    <w:rsid w:val="00AC620E"/>
    <w:rsid w:val="00AD0ADD"/>
    <w:rsid w:val="00AD2902"/>
    <w:rsid w:val="00AE0BD1"/>
    <w:rsid w:val="00AE4E69"/>
    <w:rsid w:val="00AE5C01"/>
    <w:rsid w:val="00AF2993"/>
    <w:rsid w:val="00B07E60"/>
    <w:rsid w:val="00B10612"/>
    <w:rsid w:val="00B20F0E"/>
    <w:rsid w:val="00B21AB0"/>
    <w:rsid w:val="00B22ADF"/>
    <w:rsid w:val="00B24DE7"/>
    <w:rsid w:val="00B3544D"/>
    <w:rsid w:val="00B35EB8"/>
    <w:rsid w:val="00B435F5"/>
    <w:rsid w:val="00B43660"/>
    <w:rsid w:val="00B51B31"/>
    <w:rsid w:val="00B614DF"/>
    <w:rsid w:val="00B634A7"/>
    <w:rsid w:val="00B71DBF"/>
    <w:rsid w:val="00B73B22"/>
    <w:rsid w:val="00B77FBE"/>
    <w:rsid w:val="00B91723"/>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30726"/>
    <w:rsid w:val="00C30C58"/>
    <w:rsid w:val="00C36E65"/>
    <w:rsid w:val="00C41162"/>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524"/>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6DE1"/>
    <w:rsid w:val="00E474E8"/>
    <w:rsid w:val="00E4783D"/>
    <w:rsid w:val="00E529A2"/>
    <w:rsid w:val="00E55352"/>
    <w:rsid w:val="00E66462"/>
    <w:rsid w:val="00E74948"/>
    <w:rsid w:val="00E8582A"/>
    <w:rsid w:val="00E85EDC"/>
    <w:rsid w:val="00E91A09"/>
    <w:rsid w:val="00E93107"/>
    <w:rsid w:val="00E95051"/>
    <w:rsid w:val="00EA4287"/>
    <w:rsid w:val="00EB345E"/>
    <w:rsid w:val="00EB4CD4"/>
    <w:rsid w:val="00EC21F6"/>
    <w:rsid w:val="00EC3814"/>
    <w:rsid w:val="00EC63B6"/>
    <w:rsid w:val="00ED0FAB"/>
    <w:rsid w:val="00ED2843"/>
    <w:rsid w:val="00EE32E3"/>
    <w:rsid w:val="00EF4537"/>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2C7E"/>
    <w:rsid w:val="00FB4127"/>
    <w:rsid w:val="00FC0C9A"/>
    <w:rsid w:val="00FC30E6"/>
    <w:rsid w:val="00FD1DAA"/>
    <w:rsid w:val="00FD4F42"/>
    <w:rsid w:val="00FE44F0"/>
    <w:rsid w:val="00FF7B8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D4900A40-5B1F-40C9-942A-0B66CD7B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Mencinsinresolver4">
    <w:name w:val="Mención sin resolver4"/>
    <w:basedOn w:val="Fuentedeprrafopredeter"/>
    <w:uiPriority w:val="99"/>
    <w:semiHidden/>
    <w:unhideWhenUsed/>
    <w:rsid w:val="002C74F0"/>
    <w:rPr>
      <w:color w:val="605E5C"/>
      <w:shd w:val="clear" w:color="auto" w:fill="E1DFDD"/>
    </w:rPr>
  </w:style>
  <w:style w:type="character" w:customStyle="1" w:styleId="PrrafodelistaCar">
    <w:name w:val="Párrafo de lista Car"/>
    <w:link w:val="Prrafodelista"/>
    <w:uiPriority w:val="34"/>
    <w:locked/>
    <w:rsid w:val="00395F14"/>
    <w:rPr>
      <w:sz w:val="22"/>
      <w:szCs w:val="22"/>
      <w:lang w:eastAsia="en-US"/>
    </w:rPr>
  </w:style>
  <w:style w:type="character" w:styleId="Hipervnculovisitado">
    <w:name w:val="FollowedHyperlink"/>
    <w:basedOn w:val="Fuentedeprrafopredeter"/>
    <w:uiPriority w:val="99"/>
    <w:semiHidden/>
    <w:unhideWhenUsed/>
    <w:rsid w:val="00B73B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85865547">
      <w:bodyDiv w:val="1"/>
      <w:marLeft w:val="0"/>
      <w:marRight w:val="0"/>
      <w:marTop w:val="0"/>
      <w:marBottom w:val="0"/>
      <w:divBdr>
        <w:top w:val="none" w:sz="0" w:space="0" w:color="auto"/>
        <w:left w:val="none" w:sz="0" w:space="0" w:color="auto"/>
        <w:bottom w:val="none" w:sz="0" w:space="0" w:color="auto"/>
        <w:right w:val="none" w:sz="0" w:space="0" w:color="auto"/>
      </w:divBdr>
      <w:divsChild>
        <w:div w:id="605582272">
          <w:marLeft w:val="274"/>
          <w:marRight w:val="0"/>
          <w:marTop w:val="0"/>
          <w:marBottom w:val="0"/>
          <w:divBdr>
            <w:top w:val="none" w:sz="0" w:space="0" w:color="auto"/>
            <w:left w:val="none" w:sz="0" w:space="0" w:color="auto"/>
            <w:bottom w:val="none" w:sz="0" w:space="0" w:color="auto"/>
            <w:right w:val="none" w:sz="0" w:space="0" w:color="auto"/>
          </w:divBdr>
        </w:div>
        <w:div w:id="1155607342">
          <w:marLeft w:val="274"/>
          <w:marRight w:val="0"/>
          <w:marTop w:val="0"/>
          <w:marBottom w:val="0"/>
          <w:divBdr>
            <w:top w:val="none" w:sz="0" w:space="0" w:color="auto"/>
            <w:left w:val="none" w:sz="0" w:space="0" w:color="auto"/>
            <w:bottom w:val="none" w:sz="0" w:space="0" w:color="auto"/>
            <w:right w:val="none" w:sz="0" w:space="0" w:color="auto"/>
          </w:divBdr>
        </w:div>
        <w:div w:id="28533692">
          <w:marLeft w:val="274"/>
          <w:marRight w:val="0"/>
          <w:marTop w:val="0"/>
          <w:marBottom w:val="0"/>
          <w:divBdr>
            <w:top w:val="none" w:sz="0" w:space="0" w:color="auto"/>
            <w:left w:val="none" w:sz="0" w:space="0" w:color="auto"/>
            <w:bottom w:val="none" w:sz="0" w:space="0" w:color="auto"/>
            <w:right w:val="none" w:sz="0" w:space="0" w:color="auto"/>
          </w:divBdr>
        </w:div>
        <w:div w:id="1198742522">
          <w:marLeft w:val="274"/>
          <w:marRight w:val="0"/>
          <w:marTop w:val="0"/>
          <w:marBottom w:val="0"/>
          <w:divBdr>
            <w:top w:val="none" w:sz="0" w:space="0" w:color="auto"/>
            <w:left w:val="none" w:sz="0" w:space="0" w:color="auto"/>
            <w:bottom w:val="none" w:sz="0" w:space="0" w:color="auto"/>
            <w:right w:val="none" w:sz="0" w:space="0" w:color="auto"/>
          </w:divBdr>
        </w:div>
        <w:div w:id="1219046762">
          <w:marLeft w:val="274"/>
          <w:marRight w:val="0"/>
          <w:marTop w:val="0"/>
          <w:marBottom w:val="0"/>
          <w:divBdr>
            <w:top w:val="none" w:sz="0" w:space="0" w:color="auto"/>
            <w:left w:val="none" w:sz="0" w:space="0" w:color="auto"/>
            <w:bottom w:val="none" w:sz="0" w:space="0" w:color="auto"/>
            <w:right w:val="none" w:sz="0" w:space="0" w:color="auto"/>
          </w:divBdr>
        </w:div>
        <w:div w:id="72318732">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41662221">
      <w:bodyDiv w:val="1"/>
      <w:marLeft w:val="0"/>
      <w:marRight w:val="0"/>
      <w:marTop w:val="0"/>
      <w:marBottom w:val="0"/>
      <w:divBdr>
        <w:top w:val="none" w:sz="0" w:space="0" w:color="auto"/>
        <w:left w:val="none" w:sz="0" w:space="0" w:color="auto"/>
        <w:bottom w:val="none" w:sz="0" w:space="0" w:color="auto"/>
        <w:right w:val="none" w:sz="0" w:space="0" w:color="auto"/>
      </w:divBdr>
      <w:divsChild>
        <w:div w:id="1043596516">
          <w:marLeft w:val="274"/>
          <w:marRight w:val="0"/>
          <w:marTop w:val="0"/>
          <w:marBottom w:val="0"/>
          <w:divBdr>
            <w:top w:val="none" w:sz="0" w:space="0" w:color="auto"/>
            <w:left w:val="none" w:sz="0" w:space="0" w:color="auto"/>
            <w:bottom w:val="none" w:sz="0" w:space="0" w:color="auto"/>
            <w:right w:val="none" w:sz="0" w:space="0" w:color="auto"/>
          </w:divBdr>
        </w:div>
        <w:div w:id="1770812822">
          <w:marLeft w:val="274"/>
          <w:marRight w:val="0"/>
          <w:marTop w:val="0"/>
          <w:marBottom w:val="0"/>
          <w:divBdr>
            <w:top w:val="none" w:sz="0" w:space="0" w:color="auto"/>
            <w:left w:val="none" w:sz="0" w:space="0" w:color="auto"/>
            <w:bottom w:val="none" w:sz="0" w:space="0" w:color="auto"/>
            <w:right w:val="none" w:sz="0" w:space="0" w:color="auto"/>
          </w:divBdr>
        </w:div>
        <w:div w:id="490482660">
          <w:marLeft w:val="274"/>
          <w:marRight w:val="0"/>
          <w:marTop w:val="0"/>
          <w:marBottom w:val="0"/>
          <w:divBdr>
            <w:top w:val="none" w:sz="0" w:space="0" w:color="auto"/>
            <w:left w:val="none" w:sz="0" w:space="0" w:color="auto"/>
            <w:bottom w:val="none" w:sz="0" w:space="0" w:color="auto"/>
            <w:right w:val="none" w:sz="0" w:space="0" w:color="auto"/>
          </w:divBdr>
        </w:div>
      </w:divsChild>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597128002">
      <w:bodyDiv w:val="1"/>
      <w:marLeft w:val="0"/>
      <w:marRight w:val="0"/>
      <w:marTop w:val="0"/>
      <w:marBottom w:val="0"/>
      <w:divBdr>
        <w:top w:val="none" w:sz="0" w:space="0" w:color="auto"/>
        <w:left w:val="none" w:sz="0" w:space="0" w:color="auto"/>
        <w:bottom w:val="none" w:sz="0" w:space="0" w:color="auto"/>
        <w:right w:val="none" w:sz="0" w:space="0" w:color="auto"/>
      </w:divBdr>
      <w:divsChild>
        <w:div w:id="1887839513">
          <w:marLeft w:val="274"/>
          <w:marRight w:val="0"/>
          <w:marTop w:val="0"/>
          <w:marBottom w:val="0"/>
          <w:divBdr>
            <w:top w:val="none" w:sz="0" w:space="0" w:color="auto"/>
            <w:left w:val="none" w:sz="0" w:space="0" w:color="auto"/>
            <w:bottom w:val="none" w:sz="0" w:space="0" w:color="auto"/>
            <w:right w:val="none" w:sz="0" w:space="0" w:color="auto"/>
          </w:divBdr>
        </w:div>
        <w:div w:id="205652829">
          <w:marLeft w:val="274"/>
          <w:marRight w:val="0"/>
          <w:marTop w:val="0"/>
          <w:marBottom w:val="0"/>
          <w:divBdr>
            <w:top w:val="none" w:sz="0" w:space="0" w:color="auto"/>
            <w:left w:val="none" w:sz="0" w:space="0" w:color="auto"/>
            <w:bottom w:val="none" w:sz="0" w:space="0" w:color="auto"/>
            <w:right w:val="none" w:sz="0" w:space="0" w:color="auto"/>
          </w:divBdr>
        </w:div>
        <w:div w:id="2070881353">
          <w:marLeft w:val="274"/>
          <w:marRight w:val="0"/>
          <w:marTop w:val="0"/>
          <w:marBottom w:val="0"/>
          <w:divBdr>
            <w:top w:val="none" w:sz="0" w:space="0" w:color="auto"/>
            <w:left w:val="none" w:sz="0" w:space="0" w:color="auto"/>
            <w:bottom w:val="none" w:sz="0" w:space="0" w:color="auto"/>
            <w:right w:val="none" w:sz="0" w:space="0" w:color="auto"/>
          </w:divBdr>
        </w:div>
        <w:div w:id="1529757372">
          <w:marLeft w:val="274"/>
          <w:marRight w:val="0"/>
          <w:marTop w:val="0"/>
          <w:marBottom w:val="0"/>
          <w:divBdr>
            <w:top w:val="none" w:sz="0" w:space="0" w:color="auto"/>
            <w:left w:val="none" w:sz="0" w:space="0" w:color="auto"/>
            <w:bottom w:val="none" w:sz="0" w:space="0" w:color="auto"/>
            <w:right w:val="none" w:sz="0" w:space="0" w:color="auto"/>
          </w:divBdr>
        </w:div>
      </w:divsChild>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duardo.aguirre@saludsinaloa.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es@mgichavezames.com" TargetMode="External"/><Relationship Id="rId17" Type="http://schemas.openxmlformats.org/officeDocument/2006/relationships/hyperlink" Target="http://evalua.sinaloa.gob.mx/" TargetMode="External"/><Relationship Id="rId2" Type="http://schemas.openxmlformats.org/officeDocument/2006/relationships/numbering" Target="numbering.xml"/><Relationship Id="rId16" Type="http://schemas.openxmlformats.org/officeDocument/2006/relationships/hyperlink" Target="http://saludsinaloa.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valua.sinaloa.gob.m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ludsinalo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298A-0080-4903-9F37-96D4187C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0</TotalTime>
  <Pages>8</Pages>
  <Words>2888</Words>
  <Characters>15887</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Evaluacion</cp:lastModifiedBy>
  <cp:revision>2</cp:revision>
  <cp:lastPrinted>2022-09-23T16:19:00Z</cp:lastPrinted>
  <dcterms:created xsi:type="dcterms:W3CDTF">2022-09-26T17:03:00Z</dcterms:created>
  <dcterms:modified xsi:type="dcterms:W3CDTF">2022-09-26T17:03:00Z</dcterms:modified>
</cp:coreProperties>
</file>